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0F6CBD"/>
          <w:sz w:val="20"/>
          <w:szCs w:val="20"/>
        </w:rPr>
        <w:t xml:space="preserve">Banco Meridiano (fictitious entity) · Demo material</w:t>
      </w:r>
    </w:p>
    <w:p>
      <w:pPr>
        <w:spacing w:after="120"/>
      </w:pPr>
      <w:r>
        <w:rPr>
          <w:b/>
          <w:bCs/>
          <w:color w:val="1F2A44"/>
          <w:sz w:val="44"/>
          <w:szCs w:val="44"/>
        </w:rPr>
        <w:t xml:space="preserve">Customer Experience and Digital Channels Annual Report 2026</w:t>
      </w:r>
    </w:p>
    <w:p>
      <w:pPr>
        <w:spacing w:after="240"/>
      </w:pPr>
      <w:r>
        <w:rPr>
          <w:color w:val="595959"/>
          <w:sz w:val="26"/>
          <w:szCs w:val="26"/>
        </w:rPr>
        <w:t xml:space="preserve">Banco Meridiano (fictitious entity) · Retail Banking Division</w:t>
      </w:r>
    </w:p>
    <w:p>
      <w:pPr>
        <w:spacing w:after="120" w:before="240"/>
      </w:pPr>
      <w:r>
        <w:rPr>
          <w:b/>
          <w:bCs/>
          <w:color w:val="1F2A44"/>
          <w:sz w:val="26"/>
          <w:szCs w:val="26"/>
        </w:rPr>
        <w:t xml:space="preserve">Contents</w:t>
      </w:r>
    </w:p>
    <w:p>
      <w:pPr>
        <w:spacing w:after="60"/>
        <w:ind w:left="360"/>
      </w:pPr>
      <w:r>
        <w:rPr>
          <w:color w:val="595959"/>
          <w:sz w:val="22"/>
          <w:szCs w:val="22"/>
        </w:rPr>
        <w:t xml:space="preserve">1. Executive Summary</w:t>
      </w:r>
    </w:p>
    <w:p>
      <w:pPr>
        <w:spacing w:after="60"/>
        <w:ind w:left="360"/>
      </w:pPr>
      <w:r>
        <w:rPr>
          <w:color w:val="595959"/>
          <w:sz w:val="22"/>
          <w:szCs w:val="22"/>
        </w:rPr>
        <w:t xml:space="preserve">2. Market and Business Context</w:t>
      </w:r>
    </w:p>
    <w:p>
      <w:pPr>
        <w:spacing w:after="60"/>
        <w:ind w:left="360"/>
      </w:pPr>
      <w:r>
        <w:rPr>
          <w:color w:val="595959"/>
          <w:sz w:val="22"/>
          <w:szCs w:val="22"/>
        </w:rPr>
        <w:t xml:space="preserve">3. Customer Experience Results</w:t>
      </w:r>
    </w:p>
    <w:p>
      <w:pPr>
        <w:spacing w:after="60"/>
        <w:ind w:left="360"/>
      </w:pPr>
      <w:r>
        <w:rPr>
          <w:color w:val="595959"/>
          <w:sz w:val="22"/>
          <w:szCs w:val="22"/>
        </w:rPr>
        <w:t xml:space="preserve">4. Branch Network Performance</w:t>
      </w:r>
    </w:p>
    <w:p>
      <w:pPr>
        <w:spacing w:after="60"/>
        <w:ind w:left="360"/>
      </w:pPr>
      <w:r>
        <w:rPr>
          <w:color w:val="595959"/>
          <w:sz w:val="22"/>
          <w:szCs w:val="22"/>
        </w:rPr>
        <w:t xml:space="preserve">5. Digital Channels</w:t>
      </w:r>
    </w:p>
    <w:p>
      <w:pPr>
        <w:spacing w:after="60"/>
        <w:ind w:left="360"/>
      </w:pPr>
      <w:r>
        <w:rPr>
          <w:color w:val="595959"/>
          <w:sz w:val="22"/>
          <w:szCs w:val="22"/>
        </w:rPr>
        <w:t xml:space="preserve">6. Operational Efficiency and Costs</w:t>
      </w:r>
    </w:p>
    <w:p>
      <w:pPr>
        <w:spacing w:after="60"/>
        <w:ind w:left="360"/>
      </w:pPr>
      <w:r>
        <w:rPr>
          <w:color w:val="595959"/>
          <w:sz w:val="22"/>
          <w:szCs w:val="22"/>
        </w:rPr>
        <w:t xml:space="preserve">7. Risk, Compliance and Data Protection</w:t>
      </w:r>
    </w:p>
    <w:p>
      <w:pPr>
        <w:spacing w:after="60"/>
        <w:ind w:left="360"/>
      </w:pPr>
      <w:r>
        <w:rPr>
          <w:color w:val="595959"/>
          <w:sz w:val="22"/>
          <w:szCs w:val="22"/>
        </w:rPr>
        <w:t xml:space="preserve">8. People, Skills and the Responsible Use of AI</w:t>
      </w:r>
    </w:p>
    <w:p>
      <w:pPr>
        <w:spacing w:after="60"/>
        <w:ind w:left="360"/>
      </w:pPr>
      <w:r>
        <w:rPr>
          <w:color w:val="595959"/>
          <w:sz w:val="22"/>
          <w:szCs w:val="22"/>
        </w:rPr>
        <w:t xml:space="preserve">9. Strategic Priorities for 2027</w:t>
      </w:r>
    </w:p>
    <w:p>
      <w:pPr>
        <w:spacing w:after="60"/>
        <w:ind w:left="360"/>
      </w:pPr>
      <w:r>
        <w:rPr>
          <w:color w:val="595959"/>
          <w:sz w:val="22"/>
          <w:szCs w:val="22"/>
        </w:rPr>
        <w:t xml:space="preserve">10. Investment Plan</w:t>
      </w:r>
    </w:p>
    <w:p>
      <w:pPr>
        <w:spacing w:after="60"/>
        <w:ind w:left="360"/>
      </w:pPr>
      <w:r>
        <w:rPr>
          <w:color w:val="595959"/>
          <w:sz w:val="22"/>
          <w:szCs w:val="22"/>
        </w:rPr>
        <w:t xml:space="preserve">Appendix A. Methodology</w:t>
      </w:r>
    </w:p>
    <w:p>
      <w:pPr>
        <w:spacing w:after="60"/>
        <w:ind w:left="360"/>
      </w:pPr>
      <w:r>
        <w:rPr>
          <w:color w:val="595959"/>
          <w:sz w:val="22"/>
          <w:szCs w:val="22"/>
        </w:rPr>
        <w:t xml:space="preserve">Appendix B. Glossary</w:t>
      </w:r>
    </w:p>
    <w:p>
      <w:r>
        <w:br w:type="page"/>
      </w:r>
    </w:p>
    <w:p>
      <w:pPr>
        <w:pStyle w:val="Heading1"/>
      </w:pPr>
      <w:r>
        <w:t xml:space="preserve">1. Executive Summary</w:t>
      </w:r>
    </w:p>
    <w:p>
      <w:pPr>
        <w:spacing w:after="120" w:line="276"/>
      </w:pPr>
      <w:r>
        <w:t xml:space="preserve">2026 was a year of strong commercial growth and growing operational strain for Banco Meridiano. Total revenue from retail products reached </w:t>
      </w:r>
      <w:r>
        <w:rPr>
          <w:b/>
          <w:bCs/>
        </w:rPr>
        <w:t xml:space="preserve">USD 1.59 million in the branch-network pilot perimeter</w:t>
      </w:r>
      <w:r>
        <w:t xml:space="preserve">, while the number of customers served in branches grew by 4% quarter over quarter. At the same time, the customer experience deteriorated in the dimension that customers value most: waiting time. The average wait in branches rose from 19 to 21 minutes between the second and third quarter, and the network Net Promoter Score (NPS) fell from 41 to 38 points.</w:t>
      </w:r>
    </w:p>
    <w:p>
      <w:pPr>
        <w:spacing w:after="120" w:line="276"/>
      </w:pPr>
      <w:r>
        <w:t xml:space="preserve">Digital channels were the clear bright spot. The share of operations completed through the mobile app and the website rose from 35% in January to 52% in December, and the digital channel delivered an operating margin of 63%, twelve points higher than the branch channel. App satisfaction improved by seven points, the largest gain of any dimension measured in the annual customer survey.</w:t>
      </w:r>
    </w:p>
    <w:p>
      <w:pPr>
        <w:spacing w:after="120" w:line="276"/>
      </w:pPr>
      <w:r>
        <w:t xml:space="preserve">The challenge for 2027 is therefore not to choose between branches and digital, but to connect them. Customers under 35 overwhelmingly prefer self-service, while 58% of customers aged 55 or older still prefer to be served in person. The bank must free its branches from simple transactions so that staff can focus on advice, and it must make the information customers receive consistent across every channel.</w:t>
      </w:r>
    </w:p>
    <w:p>
      <w:pPr>
        <w:spacing w:after="120" w:line="276"/>
      </w:pPr>
      <w:r>
        <w:t xml:space="preserve">This report recommends four priorities for 2027: (1) launch the "Agile Branch" plan, starting with a pilot in the two branches with the longest waiting times; (2) accelerate digital onboarding for customers who still visit branches for simple operations; (3) create a single source of product information shared by all channels; and (4) scale the responsible use of AI assistants, such as Microsoft 365 Copilot, among employees, with clear human review and data-protection rules.</w:t>
      </w:r>
    </w:p>
    <w:p>
      <w:pPr>
        <w:pStyle w:val="Heading1"/>
      </w:pPr>
      <w:r>
        <w:t xml:space="preserve">2. Market and Business Context</w:t>
      </w:r>
    </w:p>
    <w:p>
      <w:pPr>
        <w:spacing w:after="120" w:line="276"/>
      </w:pPr>
      <w:r>
        <w:t xml:space="preserve">The retail banking market in which Banco Meridiano operates grew moderately in 2026. Interest rates remained stable during the first half of the year and began to decline in the third quarter, which supported demand for personal and vehicle loans. Competition intensified, especially from digital-only banks and fintech companies that offer instant account opening and zero-fee transfers.</w:t>
      </w:r>
    </w:p>
    <w:p>
      <w:pPr>
        <w:spacing w:after="120" w:line="276"/>
      </w:pPr>
      <w:r>
        <w:t xml:space="preserve">Customer expectations continued to shift. Industry studies show that customers now compare their banking experience not with other banks, but with the best digital services they use every day, such as ride-hailing, food delivery and online retail. In that comparison, waiting in a queue for half an hour to pay a credit card is perceived as an unacceptable friction.</w:t>
      </w:r>
    </w:p>
    <w:p>
      <w:pPr>
        <w:spacing w:after="120" w:line="276"/>
      </w:pPr>
      <w:r>
        <w:t xml:space="preserve">Regulatory pressure also increased. The financial supervisor published new guidelines on complaint handling, requiring banks to respond to formal complaints within fifteen business days and to report root causes every quarter. In addition, new data-protection rules require explicit governance for any use of artificial intelligence that processes customer information.</w:t>
      </w:r>
    </w:p>
    <w:p>
      <w:pPr>
        <w:pStyle w:val="Heading2"/>
      </w:pPr>
      <w:r>
        <w:t xml:space="preserve">2.1 Key external trends</w:t>
      </w:r>
    </w:p>
    <w:p>
      <w:pPr>
        <w:pStyle w:val="ListParagraph"/>
        <w:numPr>
          <w:ilvl w:val="0"/>
          <w:numId w:val="2"/>
        </w:numPr>
        <w:spacing w:after="60"/>
      </w:pPr>
      <w:r>
        <w:rPr>
          <w:b/>
          <w:bCs/>
        </w:rPr>
        <w:t xml:space="preserve">Digital-first competitors</w:t>
      </w:r>
      <w:r>
        <w:t xml:space="preserve"> captured an estimated 9% of new savings accounts opened in the market in 2026, up from 5% in 2025.</w:t>
      </w:r>
    </w:p>
    <w:p>
      <w:pPr>
        <w:pStyle w:val="ListParagraph"/>
        <w:numPr>
          <w:ilvl w:val="0"/>
          <w:numId w:val="2"/>
        </w:numPr>
        <w:spacing w:after="60"/>
      </w:pPr>
      <w:r>
        <w:rPr>
          <w:b/>
          <w:bCs/>
        </w:rPr>
        <w:t xml:space="preserve">Instant payments</w:t>
      </w:r>
      <w:r>
        <w:t xml:space="preserve"> became the default expectation: 72% of surveyed customers expect transfers to be credited in seconds.</w:t>
      </w:r>
    </w:p>
    <w:p>
      <w:pPr>
        <w:pStyle w:val="ListParagraph"/>
        <w:numPr>
          <w:ilvl w:val="0"/>
          <w:numId w:val="2"/>
        </w:numPr>
        <w:spacing w:after="60"/>
      </w:pPr>
      <w:r>
        <w:rPr>
          <w:b/>
          <w:bCs/>
        </w:rPr>
        <w:t xml:space="preserve">Hybrid service</w:t>
      </w:r>
      <w:r>
        <w:t xml:space="preserve"> is the norm: most customers use two or more channels in the same month, and they expect the bank to remember their context.</w:t>
      </w:r>
    </w:p>
    <w:p>
      <w:pPr>
        <w:pStyle w:val="ListParagraph"/>
        <w:numPr>
          <w:ilvl w:val="0"/>
          <w:numId w:val="2"/>
        </w:numPr>
        <w:spacing w:after="60"/>
      </w:pPr>
      <w:r>
        <w:rPr>
          <w:b/>
          <w:bCs/>
        </w:rPr>
        <w:t xml:space="preserve">AI in the workplace</w:t>
      </w:r>
      <w:r>
        <w:t xml:space="preserve"> moved from experimentation to adoption, with banks deploying assistants to draft documents, summarize meetings and analyze data, under strict human oversight.</w:t>
      </w:r>
    </w:p>
    <w:p>
      <w:pPr>
        <w:pStyle w:val="Heading1"/>
      </w:pPr>
      <w:r>
        <w:t xml:space="preserve">3. Customer Experience Results</w:t>
      </w:r>
    </w:p>
    <w:p>
      <w:pPr>
        <w:spacing w:after="120" w:line="276"/>
      </w:pPr>
      <w:r>
        <w:t xml:space="preserve">Customer experience is measured through three complementary indicators: the Net Promoter Score (NPS), customer satisfaction by dimension (CSAT) and the volume and causes of complaints. In 2026 the bank surveyed 2,400 branch customers (400 per branch) in September, with a margin of error of ±2.0 percentage points at a 95% confidence level.</w:t>
      </w:r>
    </w:p>
    <w:p>
      <w:pPr>
        <w:pStyle w:val="Heading2"/>
      </w:pPr>
      <w:r>
        <w:t xml:space="preserve">3.1 Net Promoter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00"/>
        <w:gridCol w:w="1900"/>
        <w:gridCol w:w="1960"/>
      </w:tblGrid>
      <w:tr>
        <w:trPr>
          <w:tblHeader/>
        </w:trPr>
        <w:tc>
          <w:tcPr>
            <w:tcW w:type="dxa" w:w="20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Branch</w:t>
            </w:r>
          </w:p>
        </w:tc>
        <w:tc>
          <w:tcPr>
            <w:tcW w:type="dxa" w:w="16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Region</w:t>
            </w:r>
          </w:p>
        </w:tc>
        <w:tc>
          <w:tcPr>
            <w:tcW w:type="dxa" w:w="19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NPS Q2 2026</w:t>
            </w:r>
          </w:p>
        </w:tc>
        <w:tc>
          <w:tcPr>
            <w:tcW w:type="dxa" w:w="19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NPS Q3 2026</w:t>
            </w:r>
          </w:p>
        </w:tc>
        <w:tc>
          <w:tcPr>
            <w:tcW w:type="dxa" w:w="196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Change</w:t>
            </w:r>
          </w:p>
        </w:tc>
      </w:tr>
      <w:tr>
        <w:trPr>
          <w:tblHeader w:val="off"/>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Centro</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North</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47</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46</w:t>
            </w:r>
          </w:p>
        </w:tc>
        <w:tc>
          <w:tcPr>
            <w:tcW w:type="dxa" w:w="19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−1</w:t>
            </w:r>
          </w:p>
        </w:tc>
      </w:tr>
      <w:tr>
        <w:trPr>
          <w:tblHeader w:val="off"/>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Parque Real</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North</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36</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31</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−5</w:t>
            </w:r>
          </w:p>
        </w:tc>
      </w:tr>
      <w:tr>
        <w:trPr>
          <w:tblHeader w:val="off"/>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Los Álamos</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South</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50</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52</w:t>
            </w:r>
          </w:p>
        </w:tc>
        <w:tc>
          <w:tcPr>
            <w:tcW w:type="dxa" w:w="19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+2</w:t>
            </w:r>
          </w:p>
        </w:tc>
      </w:tr>
      <w:tr>
        <w:trPr>
          <w:tblHeader w:val="off"/>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Puerto Azul</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South</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27</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18</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−9</w:t>
            </w:r>
          </w:p>
        </w:tc>
      </w:tr>
      <w:tr>
        <w:trPr>
          <w:tblHeader w:val="off"/>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Mirador</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West</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48</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49</w:t>
            </w:r>
          </w:p>
        </w:tc>
        <w:tc>
          <w:tcPr>
            <w:tcW w:type="dxa" w:w="19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w:t>
            </w:r>
          </w:p>
        </w:tc>
      </w:tr>
      <w:tr>
        <w:trPr>
          <w:tblHeader w:val="off"/>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San Gabriel</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West</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37</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38</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+1</w:t>
            </w:r>
          </w:p>
        </w:tc>
      </w:tr>
      <w:tr>
        <w:trPr>
          <w:tblHeader w:val="off"/>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Network</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41</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38</w:t>
            </w:r>
          </w:p>
        </w:tc>
        <w:tc>
          <w:tcPr>
            <w:tcW w:type="dxa" w:w="19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−3</w:t>
            </w:r>
          </w:p>
        </w:tc>
      </w:tr>
    </w:tbl>
    <w:p>
      <w:pPr>
        <w:spacing w:after="80"/>
      </w:pPr>
    </w:p>
    <w:p>
      <w:pPr>
        <w:spacing w:after="120" w:line="276"/>
      </w:pPr>
      <w:r>
        <w:t xml:space="preserve">The decline in NPS is concentrated in Puerto Azul and Parque Real. Puerto Azul lost nine points in a single quarter, mainly because of staff shortages: three teller positions remained vacant for six weeks, which pushed average waiting times above 40 minutes during peak hours. The other four branches remained stable or improved slightly.</w:t>
      </w:r>
    </w:p>
    <w:p>
      <w:pPr>
        <w:pStyle w:val="Heading2"/>
      </w:pPr>
      <w:r>
        <w:t xml:space="preserve">3.2 Satisfaction by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50"/>
        <w:gridCol w:w="1850"/>
        <w:gridCol w:w="1860"/>
      </w:tblGrid>
      <w:tr>
        <w:trPr>
          <w:tblHeader/>
        </w:trPr>
        <w:tc>
          <w:tcPr>
            <w:tcW w:type="dxa" w:w="38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Dimension</w:t>
            </w:r>
          </w:p>
        </w:tc>
        <w:tc>
          <w:tcPr>
            <w:tcW w:type="dxa" w:w="185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Satisfied 2025</w:t>
            </w:r>
          </w:p>
        </w:tc>
        <w:tc>
          <w:tcPr>
            <w:tcW w:type="dxa" w:w="185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Satisfied 2026</w:t>
            </w:r>
          </w:p>
        </w:tc>
        <w:tc>
          <w:tcPr>
            <w:tcW w:type="dxa" w:w="186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Change (pts)</w:t>
            </w:r>
          </w:p>
        </w:tc>
      </w:tr>
      <w:tr>
        <w:trPr>
          <w:tblHeader w:val="off"/>
        </w:trPr>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Staff friendliness</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88%</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89%</w:t>
            </w:r>
          </w:p>
        </w:tc>
        <w:tc>
          <w:tcPr>
            <w:tcW w:type="dxa" w:w="18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w:t>
            </w:r>
          </w:p>
        </w:tc>
      </w:tr>
      <w:tr>
        <w:trPr>
          <w:tblHeader w:val="off"/>
        </w:trPr>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Comfort of facilities</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79%</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77%</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−2</w:t>
            </w:r>
          </w:p>
        </w:tc>
      </w:tr>
      <w:tr>
        <w:trPr>
          <w:tblHeader w:val="off"/>
        </w:trPr>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Clarity of information</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76%</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74%</w:t>
            </w:r>
          </w:p>
        </w:tc>
        <w:tc>
          <w:tcPr>
            <w:tcW w:type="dxa" w:w="18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−2</w:t>
            </w:r>
          </w:p>
        </w:tc>
      </w:tr>
      <w:tr>
        <w:trPr>
          <w:tblHeader w:val="off"/>
        </w:trPr>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Ease of use of the app</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61%</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68%</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+7</w:t>
            </w:r>
          </w:p>
        </w:tc>
      </w:tr>
      <w:tr>
        <w:trPr>
          <w:tblHeader w:val="off"/>
        </w:trPr>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First-contact resolution</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66%</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63%</w:t>
            </w:r>
          </w:p>
        </w:tc>
        <w:tc>
          <w:tcPr>
            <w:tcW w:type="dxa" w:w="18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−3</w:t>
            </w:r>
          </w:p>
        </w:tc>
      </w:tr>
      <w:tr>
        <w:trPr>
          <w:tblHeader w:val="off"/>
        </w:trPr>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Waiting time</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52%</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41%</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−11</w:t>
            </w:r>
          </w:p>
        </w:tc>
      </w:tr>
    </w:tbl>
    <w:p>
      <w:pPr>
        <w:spacing w:after="80"/>
      </w:pPr>
    </w:p>
    <w:p>
      <w:pPr>
        <w:spacing w:after="120" w:line="276"/>
      </w:pPr>
      <w:r>
        <w:t xml:space="preserve">Staff friendliness remains the bank's greatest strength: almost nine in ten customers are satisfied with the way they are treated. Waiting time is the weakest dimension and the one that deteriorated the most, losing eleven points in a single year. Statistical analysis of the survey shows that waiting time explains roughly 40% of the variation in NPS among branch customers, making it the single most important lever to improve loyalty.</w:t>
      </w:r>
    </w:p>
    <w:p>
      <w:pPr>
        <w:pStyle w:val="Heading2"/>
      </w:pPr>
      <w:r>
        <w:t xml:space="preserve">3.3 Complaints</w:t>
      </w:r>
    </w:p>
    <w:p>
      <w:pPr>
        <w:spacing w:after="120" w:line="276"/>
      </w:pPr>
      <w:r>
        <w:t xml:space="preserve">The branch network recorded 283 formal complaints in the third quarter, a 17.4% increase compared with the second quarter. Sixty-one percent of complaints mention waiting time, and 18% mention inconsistent information between channels, for example a fee quoted in the app that differs from the fee applied at the branch. Puerto Azul and Parque Real together account for 55% of all complaints.</w:t>
      </w:r>
    </w:p>
    <w:p>
      <w:pPr>
        <w:spacing w:after="120" w:line="276"/>
      </w:pPr>
      <w:r>
        <w:t xml:space="preserve">First-contact resolution fell to 63%. When a complaint is not solved in the first interaction, customers return to the branch an average of 1.8 additional times, which further increases queues. Reducing repeat visits is therefore both a customer-experience goal and an efficiency goal.</w:t>
      </w:r>
    </w:p>
    <w:p>
      <w:pPr>
        <w:pStyle w:val="Heading1"/>
      </w:pPr>
      <w:r>
        <w:t xml:space="preserve">4. Branch Network Performance</w:t>
      </w:r>
    </w:p>
    <w:p>
      <w:pPr>
        <w:spacing w:after="120" w:line="276"/>
      </w:pPr>
      <w:r>
        <w:t xml:space="preserve">The six branches served 66,120 customers in the third quarter. Commercial performance remained close to target at network level, but with large differences between branches. The following table summarizes the main operating indicators for the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800"/>
        <w:gridCol w:w="1800"/>
        <w:gridCol w:w="1760"/>
      </w:tblGrid>
      <w:tr>
        <w:trPr>
          <w:tblHeader/>
        </w:trPr>
        <w:tc>
          <w:tcPr>
            <w:tcW w:type="dxa" w:w="21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Branch</w:t>
            </w:r>
          </w:p>
        </w:tc>
        <w:tc>
          <w:tcPr>
            <w:tcW w:type="dxa" w:w="19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Customers served</w:t>
            </w:r>
          </w:p>
        </w:tc>
        <w:tc>
          <w:tcPr>
            <w:tcW w:type="dxa" w:w="18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Avg. wait (min)</w:t>
            </w:r>
          </w:p>
        </w:tc>
        <w:tc>
          <w:tcPr>
            <w:tcW w:type="dxa" w:w="18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Target attainment</w:t>
            </w:r>
          </w:p>
        </w:tc>
        <w:tc>
          <w:tcPr>
            <w:tcW w:type="dxa" w:w="176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Complaints</w:t>
            </w:r>
          </w:p>
        </w:tc>
      </w:tr>
      <w:tr>
        <w:trPr>
          <w:tblHeader w:val="off"/>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Centro</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14,820</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18</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101%</w:t>
            </w:r>
          </w:p>
        </w:tc>
        <w:tc>
          <w:tcPr>
            <w:tcW w:type="dxa" w:w="17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38</w:t>
            </w:r>
          </w:p>
        </w:tc>
      </w:tr>
      <w:tr>
        <w:trPr>
          <w:tblHeader w:val="off"/>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Parque Real</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11,240</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24</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92%</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61</w:t>
            </w:r>
          </w:p>
        </w:tc>
      </w:tr>
      <w:tr>
        <w:trPr>
          <w:tblHeader w:val="off"/>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Los Álamos</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9,870</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15</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107%</w:t>
            </w:r>
          </w:p>
        </w:tc>
        <w:tc>
          <w:tcPr>
            <w:tcW w:type="dxa" w:w="17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22</w:t>
            </w:r>
          </w:p>
        </w:tc>
      </w:tr>
      <w:tr>
        <w:trPr>
          <w:tblHeader w:val="off"/>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Puerto Azul</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12,630</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31</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86%</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94</w:t>
            </w:r>
          </w:p>
        </w:tc>
      </w:tr>
      <w:tr>
        <w:trPr>
          <w:tblHeader w:val="off"/>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Mirador</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8,410</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16</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102%</w:t>
            </w:r>
          </w:p>
        </w:tc>
        <w:tc>
          <w:tcPr>
            <w:tcW w:type="dxa" w:w="17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27</w:t>
            </w:r>
          </w:p>
        </w:tc>
      </w:tr>
      <w:tr>
        <w:trPr>
          <w:tblHeader w:val="off"/>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San Gabriel</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9,150</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21</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97%</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41</w:t>
            </w:r>
          </w:p>
        </w:tc>
      </w:tr>
      <w:tr>
        <w:trPr>
          <w:tblHeader w:val="off"/>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Network</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66,120</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21</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97%</w:t>
            </w:r>
          </w:p>
        </w:tc>
        <w:tc>
          <w:tcPr>
            <w:tcW w:type="dxa" w:w="17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283</w:t>
            </w:r>
          </w:p>
        </w:tc>
      </w:tr>
    </w:tbl>
    <w:p>
      <w:pPr>
        <w:spacing w:after="80"/>
      </w:pPr>
    </w:p>
    <w:p>
      <w:pPr>
        <w:pStyle w:val="Heading2"/>
      </w:pPr>
      <w:r>
        <w:t xml:space="preserve">4.1 Demand patterns</w:t>
      </w:r>
    </w:p>
    <w:p>
      <w:pPr>
        <w:spacing w:after="120" w:line="276"/>
      </w:pPr>
      <w:r>
        <w:t xml:space="preserve">Demand is highly concentrated. Mondays and Fridays between 10:00 and 12:00 account for 31% of weekly visits, and during those windows the waiting time in Puerto Azul regularly exceeds 40 minutes. Staffing schedules, however, are fixed and do not adapt to these peaks. A simple rebalancing of breaks and lunch shifts could reduce peak waiting times by an estimated 15% without additional cost.</w:t>
      </w:r>
    </w:p>
    <w:p>
      <w:pPr>
        <w:spacing w:after="120" w:line="276"/>
      </w:pPr>
      <w:r>
        <w:t xml:space="preserve">An analysis of transaction types shows that 38% of branch visits correspond to operations that customers could complete in the mobile app: balance inquiries, transfers, credit-card payments and account certificates. Among customers under 35, this share reaches 52%. These customers are not visiting the branch because they prefer it, but because they do not know that the app can solve their need, or because a previous attempt in the app failed.</w:t>
      </w:r>
    </w:p>
    <w:p>
      <w:pPr>
        <w:pStyle w:val="Heading2"/>
      </w:pPr>
      <w:r>
        <w:t xml:space="preserve">4.2 Staff and capacity</w:t>
      </w:r>
    </w:p>
    <w:p>
      <w:pPr>
        <w:spacing w:after="120" w:line="276"/>
      </w:pPr>
      <w:r>
        <w:t xml:space="preserve">Branch staff remained stable at network level, but turnover was high in Puerto Azul, where three teller positions were vacant for six weeks. New employees need on average eight weeks to reach full productivity, which means that vacancies have a lasting effect on service levels. The bank's training model is product-specific: most advisers can handle only one or two product families, so customers are frequently transferred from one desk to another.</w:t>
      </w:r>
    </w:p>
    <w:p>
      <w:pPr>
        <w:pStyle w:val="Heading1"/>
      </w:pPr>
      <w:r>
        <w:t xml:space="preserve">5. Digital Channels</w:t>
      </w:r>
    </w:p>
    <w:p>
      <w:pPr>
        <w:spacing w:after="120" w:line="276"/>
      </w:pPr>
      <w:r>
        <w:t xml:space="preserve">Digital adoption accelerated throughout 2026. The mobile app reached 412,000 monthly active users in December, an increase of 23% compared with December 2025. The share of operations completed in digital channels grew from 35% in January to 42.5% in June and to 52% in December.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50"/>
        <w:gridCol w:w="1850"/>
        <w:gridCol w:w="1860"/>
      </w:tblGrid>
      <w:tr>
        <w:trPr>
          <w:tblHeader/>
        </w:trPr>
        <w:tc>
          <w:tcPr>
            <w:tcW w:type="dxa" w:w="38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Indicator</w:t>
            </w:r>
          </w:p>
        </w:tc>
        <w:tc>
          <w:tcPr>
            <w:tcW w:type="dxa" w:w="185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Dec 2025</w:t>
            </w:r>
          </w:p>
        </w:tc>
        <w:tc>
          <w:tcPr>
            <w:tcW w:type="dxa" w:w="185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Dec 2026</w:t>
            </w:r>
          </w:p>
        </w:tc>
        <w:tc>
          <w:tcPr>
            <w:tcW w:type="dxa" w:w="186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Change</w:t>
            </w:r>
          </w:p>
        </w:tc>
      </w:tr>
      <w:tr>
        <w:trPr>
          <w:tblHeader w:val="off"/>
        </w:trPr>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App monthly active users</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335,000</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412,000</w:t>
            </w:r>
          </w:p>
        </w:tc>
        <w:tc>
          <w:tcPr>
            <w:tcW w:type="dxa" w:w="18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+23%</w:t>
            </w:r>
          </w:p>
        </w:tc>
      </w:tr>
      <w:tr>
        <w:trPr>
          <w:tblHeader w:val="off"/>
        </w:trPr>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Share of operations in digital channels</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33%</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52%</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+19 pts</w:t>
            </w:r>
          </w:p>
        </w:tc>
      </w:tr>
      <w:tr>
        <w:trPr>
          <w:tblHeader w:val="off"/>
        </w:trPr>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App store rating</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3.9</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4.4</w:t>
            </w:r>
          </w:p>
        </w:tc>
        <w:tc>
          <w:tcPr>
            <w:tcW w:type="dxa" w:w="18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+0.5</w:t>
            </w:r>
          </w:p>
        </w:tc>
      </w:tr>
      <w:tr>
        <w:trPr>
          <w:tblHeader w:val="off"/>
        </w:trPr>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Digital onboarding (new accounts)</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28%</w:t>
            </w:r>
          </w:p>
        </w:tc>
        <w:tc>
          <w:tcPr>
            <w:tcW w:type="dxa" w:w="1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46%</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+18 pts</w:t>
            </w:r>
          </w:p>
        </w:tc>
      </w:tr>
      <w:tr>
        <w:trPr>
          <w:tblHeader w:val="off"/>
        </w:trPr>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Chatbot containment rate</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41%</w:t>
            </w:r>
          </w:p>
        </w:tc>
        <w:tc>
          <w:tcPr>
            <w:tcW w:type="dxa" w:w="18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57%</w:t>
            </w:r>
          </w:p>
        </w:tc>
        <w:tc>
          <w:tcPr>
            <w:tcW w:type="dxa" w:w="18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+16 pts</w:t>
            </w:r>
          </w:p>
        </w:tc>
      </w:tr>
    </w:tbl>
    <w:p>
      <w:pPr>
        <w:spacing w:after="80"/>
      </w:pPr>
    </w:p>
    <w:p>
      <w:pPr>
        <w:spacing w:after="120" w:line="276"/>
      </w:pPr>
      <w:r>
        <w:t xml:space="preserve">The digital channel is also more profitable. In the 2026 results by product and channel, the operating margin of digital operations was 63.4%, compared with 51.4% for operations completed in branches. Credit cards and life insurance show the highest margins, while savings accounts remain a low-margin, high-volume product that is ideal for self-service.</w:t>
      </w:r>
    </w:p>
    <w:p>
      <w:pPr>
        <w:spacing w:after="120" w:line="276"/>
      </w:pPr>
      <w:r>
        <w:t xml:space="preserve">However, adoption is uneven by age. Seventy-one percent of customers under 35 name the app as their preferred channel, compared with only 19% of customers aged 55 or older. For this older segment, the branch remains the preferred channel for 58% of customers. Any strategy that relies only on digital migration would leave a large and loyal segment behind.</w:t>
      </w:r>
    </w:p>
    <w:p>
      <w:pPr>
        <w:pStyle w:val="Heading2"/>
      </w:pPr>
      <w:r>
        <w:t xml:space="preserve">5.1 Pain points in the app</w:t>
      </w:r>
    </w:p>
    <w:p>
      <w:pPr>
        <w:pStyle w:val="ListParagraph"/>
        <w:numPr>
          <w:ilvl w:val="0"/>
          <w:numId w:val="2"/>
        </w:numPr>
        <w:spacing w:after="60"/>
      </w:pPr>
      <w:r>
        <w:t xml:space="preserve">Eleven percent of dissatisfied customers mention app failures or slowness, especially during month-end peaks.</w:t>
      </w:r>
    </w:p>
    <w:p>
      <w:pPr>
        <w:pStyle w:val="ListParagraph"/>
        <w:numPr>
          <w:ilvl w:val="0"/>
          <w:numId w:val="2"/>
        </w:numPr>
        <w:spacing w:after="60"/>
      </w:pPr>
      <w:r>
        <w:t xml:space="preserve">Some operations still require a branch visit to complete, such as updating personal data or requesting certain certificates.</w:t>
      </w:r>
    </w:p>
    <w:p>
      <w:pPr>
        <w:pStyle w:val="ListParagraph"/>
        <w:numPr>
          <w:ilvl w:val="0"/>
          <w:numId w:val="2"/>
        </w:numPr>
        <w:spacing w:after="60"/>
      </w:pPr>
      <w:r>
        <w:t xml:space="preserve">Product information in the app is not always consistent with the information provided in branches and by the contact center.</w:t>
      </w:r>
    </w:p>
    <w:p>
      <w:pPr>
        <w:pStyle w:val="Heading1"/>
      </w:pPr>
      <w:r>
        <w:t xml:space="preserve">6. Operational Efficiency and Costs</w:t>
      </w:r>
    </w:p>
    <w:p>
      <w:pPr>
        <w:spacing w:after="120" w:line="276"/>
      </w:pPr>
      <w:r>
        <w:t xml:space="preserve">Total operating costs for the retail perimeter grew by 3.1% in 2026, below the growth in revenue. The cost-to-income ratio improved slightly, from 45.2% to 43.4%. The improvement comes almost entirely from the shift of operations to digital channels, which have a lower unit cost. Branch costs remained flat, but because branch volumes grew, the cost per branch transaction fell by 2%.</w:t>
      </w:r>
    </w:p>
    <w:p>
      <w:pPr>
        <w:spacing w:after="120" w:line="276"/>
      </w:pPr>
      <w:r>
        <w:t xml:space="preserve">Puerto Azul has the lowest margin in the network (50.7%), eight points below the best-performing branches. The difference is explained by higher staffing costs from overtime and temporary staff during the vacancy period, and by a higher volume of complaints, which require additional handling time from supervisors.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100"/>
        <w:gridCol w:w="2160"/>
      </w:tblGrid>
      <w:tr>
        <w:trPr>
          <w:tblHeader/>
        </w:trPr>
        <w:tc>
          <w:tcPr>
            <w:tcW w:type="dxa" w:w="29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Region</w:t>
            </w:r>
          </w:p>
        </w:tc>
        <w:tc>
          <w:tcPr>
            <w:tcW w:type="dxa" w:w="22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Revenue 2026 (USD)</w:t>
            </w:r>
          </w:p>
        </w:tc>
        <w:tc>
          <w:tcPr>
            <w:tcW w:type="dxa" w:w="21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Operating margin</w:t>
            </w:r>
          </w:p>
        </w:tc>
        <w:tc>
          <w:tcPr>
            <w:tcW w:type="dxa" w:w="216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Target attainment</w:t>
            </w:r>
          </w:p>
        </w:tc>
      </w:tr>
      <w:tr>
        <w:trPr>
          <w:tblHeader w:val="off"/>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North</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590,834</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57.7%</w:t>
            </w:r>
          </w:p>
        </w:tc>
        <w:tc>
          <w:tcPr>
            <w:tcW w:type="dxa" w:w="21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91.2%</w:t>
            </w:r>
          </w:p>
        </w:tc>
      </w:tr>
      <w:tr>
        <w:trPr>
          <w:tblHeader w:val="off"/>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South</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543,330</w:t>
            </w:r>
          </w:p>
        </w:tc>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54.4%</w:t>
            </w:r>
          </w:p>
        </w:tc>
        <w:tc>
          <w:tcPr>
            <w:tcW w:type="dxa" w:w="2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96.2%</w:t>
            </w:r>
          </w:p>
        </w:tc>
      </w:tr>
      <w:tr>
        <w:trPr>
          <w:tblHeader w:val="off"/>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West</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450,837</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58.0%</w:t>
            </w:r>
          </w:p>
        </w:tc>
        <w:tc>
          <w:tcPr>
            <w:tcW w:type="dxa" w:w="21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99.1%</w:t>
            </w:r>
          </w:p>
        </w:tc>
      </w:tr>
      <w:tr>
        <w:trPr>
          <w:tblHeader w:val="off"/>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Total</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1,585,002</w:t>
            </w:r>
          </w:p>
        </w:tc>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56.6%</w:t>
            </w:r>
          </w:p>
        </w:tc>
        <w:tc>
          <w:tcPr>
            <w:tcW w:type="dxa" w:w="2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95.1%</w:t>
            </w:r>
          </w:p>
        </w:tc>
      </w:tr>
    </w:tbl>
    <w:p>
      <w:pPr>
        <w:pStyle w:val="Heading1"/>
      </w:pPr>
      <w:r>
        <w:t xml:space="preserve">7. Risk, Compliance and Data Protection</w:t>
      </w:r>
    </w:p>
    <w:p>
      <w:pPr>
        <w:spacing w:after="120" w:line="276"/>
      </w:pPr>
      <w:r>
        <w:t xml:space="preserve">No material compliance incidents were recorded in 2026. The bank met the new regulatory deadline of fifteen business days for 96% of formal complaints; the remaining 4% were resolved within twenty-two days. The internal audit recommended strengthening root-cause analysis and sharing complaint insights with product teams every month.</w:t>
      </w:r>
    </w:p>
    <w:p>
      <w:pPr>
        <w:spacing w:after="120" w:line="276"/>
      </w:pPr>
      <w:r>
        <w:t xml:space="preserve">Information security remained a priority. Phishing attempts targeting customers increased by 30%, and the bank launched two awareness campaigns in the app. Internally, all employees completed the annual data-protection training. The new AI governance policy, approved in June, defines which AI tools employees may use, requires human review of any AI-generated content before it is shared with customers, and prohibits entering customer personal data into tools that are not protected by enterprise data protection.</w:t>
      </w:r>
    </w:p>
    <w:p>
      <w:pPr>
        <w:pStyle w:val="Heading1"/>
      </w:pPr>
      <w:r>
        <w:t xml:space="preserve">8. People, Skills and the Responsible Use of AI</w:t>
      </w:r>
    </w:p>
    <w:p>
      <w:pPr>
        <w:spacing w:after="120" w:line="276"/>
      </w:pPr>
      <w:r>
        <w:t xml:space="preserve">In the second half of 2026 the bank ran a pilot of Microsoft 365 Copilot with 150 employees from branches, risk, finance and operations. Participants used Copilot to summarize long email threads, prepare first drafts of reports and presentations, analyze spreadsheets and capture action items from meetings.</w:t>
      </w:r>
    </w:p>
    <w:p>
      <w:pPr>
        <w:spacing w:after="120" w:line="276"/>
      </w:pPr>
      <w:r>
        <w:t xml:space="preserve">Results were encouraging. Participants reported saving an average of 3.5 hours per week, mainly in drafting and summarizing tasks. The quality of meeting follow-ups improved, as action items and owners were captured consistently. However, the pilot also showed the importance of training: employees who received structured training on how to write effective prompts reported twice as much time saved as those who did not.</w:t>
      </w:r>
    </w:p>
    <w:p>
      <w:pPr>
        <w:spacing w:after="120" w:line="276"/>
      </w:pPr>
      <w:r>
        <w:t xml:space="preserve">The pilot confirmed three principles that will guide the wider rollout in 2027: AI assists, people decide; every AI-generated output must be reviewed and validated before it is used; and sensitive information must only be processed in tools with enterprise data protection, using each employee's work account.</w:t>
      </w:r>
    </w:p>
    <w:p>
      <w:pPr>
        <w:pStyle w:val="Heading2"/>
      </w:pPr>
      <w:r>
        <w:t xml:space="preserve">8.1 Training plan for 2027</w:t>
      </w:r>
    </w:p>
    <w:p>
      <w:pPr>
        <w:pStyle w:val="ListParagraph"/>
        <w:numPr>
          <w:ilvl w:val="0"/>
          <w:numId w:val="2"/>
        </w:numPr>
        <w:spacing w:after="60"/>
      </w:pPr>
      <w:r>
        <w:t xml:space="preserve">A two-hour practical course for all branch and back-office staff on writing effective prompts and using Copilot in Word, Excel, PowerPoint, Outlook and Teams.</w:t>
      </w:r>
    </w:p>
    <w:p>
      <w:pPr>
        <w:pStyle w:val="ListParagraph"/>
        <w:numPr>
          <w:ilvl w:val="0"/>
          <w:numId w:val="2"/>
        </w:numPr>
        <w:spacing w:after="60"/>
      </w:pPr>
      <w:r>
        <w:t xml:space="preserve">Role-based use cases for branch managers, risk and finance analysts, operations teams and technology staff.</w:t>
      </w:r>
    </w:p>
    <w:p>
      <w:pPr>
        <w:pStyle w:val="ListParagraph"/>
        <w:numPr>
          <w:ilvl w:val="0"/>
          <w:numId w:val="2"/>
        </w:numPr>
        <w:spacing w:after="60"/>
      </w:pPr>
      <w:r>
        <w:t xml:space="preserve">A community of practice with monthly sessions to share prompts and lessons learned.</w:t>
      </w:r>
    </w:p>
    <w:p>
      <w:pPr>
        <w:pStyle w:val="Heading1"/>
      </w:pPr>
      <w:r>
        <w:t xml:space="preserve">9. Strategic Priorities for 2027</w:t>
      </w:r>
    </w:p>
    <w:p>
      <w:pPr>
        <w:spacing w:after="120" w:line="276"/>
      </w:pPr>
      <w:r>
        <w:t xml:space="preserve">Based on the findings of this report, the executive committee has defined four strategic priorities for 2027.</w:t>
      </w:r>
    </w:p>
    <w:p>
      <w:pPr>
        <w:pStyle w:val="Heading2"/>
      </w:pPr>
      <w:r>
        <w:t xml:space="preserve">Priority 1: The "Agile Branch" plan</w:t>
      </w:r>
    </w:p>
    <w:p>
      <w:pPr>
        <w:spacing w:after="120" w:line="276"/>
      </w:pPr>
      <w:r>
        <w:t xml:space="preserve">The plan aims to reduce the average waiting time from 21 to 12 minutes and raise the network NPS from 38 to 50 by the end of 2027, without increasing headcount. It combines digital queueing and appointments in the app, assisted self-service kiosks, a universal adviser model and dynamic staffing based on customer-flow analytics. The pilot will start in January 2027 in Puerto Azul and Parque Real.</w:t>
      </w:r>
    </w:p>
    <w:p>
      <w:pPr>
        <w:pStyle w:val="Heading2"/>
      </w:pPr>
      <w:r>
        <w:t xml:space="preserve">Priority 2: Assisted digital migration</w:t>
      </w:r>
    </w:p>
    <w:p>
      <w:pPr>
        <w:spacing w:after="120" w:line="276"/>
      </w:pPr>
      <w:r>
        <w:t xml:space="preserve">Branch hosts will help customers complete simple operations in the app during their visit, so that the next time they do not need to come to the branch. The target is to reduce the share of branch visits for simple operations from 38% to 20%.</w:t>
      </w:r>
    </w:p>
    <w:p>
      <w:pPr>
        <w:pStyle w:val="Heading2"/>
      </w:pPr>
      <w:r>
        <w:t xml:space="preserve">Priority 3: One source of truth for product information</w:t>
      </w:r>
    </w:p>
    <w:p>
      <w:pPr>
        <w:spacing w:after="120" w:line="276"/>
      </w:pPr>
      <w:r>
        <w:t xml:space="preserve">The bank will create a single product-information repository used by the app, the website, the contact center and branches. This will reduce complaints caused by inconsistent information, which today represent 18% of the total.</w:t>
      </w:r>
    </w:p>
    <w:p>
      <w:pPr>
        <w:pStyle w:val="Heading2"/>
      </w:pPr>
      <w:r>
        <w:t xml:space="preserve">Priority 4: Responsible AI at scale</w:t>
      </w:r>
    </w:p>
    <w:p>
      <w:pPr>
        <w:spacing w:after="120" w:line="276"/>
      </w:pPr>
      <w:r>
        <w:t xml:space="preserve">After the successful pilot, the bank will extend Microsoft 365 Copilot to 1,200 employees in 2027, combined with mandatory training and clear governance. The expected benefit is a reduction of at least 10% in time spent on drafting, summarizing and reporting tasks.</w:t>
      </w:r>
    </w:p>
    <w:p>
      <w:pPr>
        <w:pStyle w:val="Heading1"/>
      </w:pPr>
      <w:r>
        <w:t xml:space="preserve">10. Investment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1300"/>
        <w:gridCol w:w="2960"/>
      </w:tblGrid>
      <w:tr>
        <w:trPr>
          <w:tblHeader/>
        </w:trPr>
        <w:tc>
          <w:tcPr>
            <w:tcW w:type="dxa" w:w="31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Initiative</w:t>
            </w:r>
          </w:p>
        </w:tc>
        <w:tc>
          <w:tcPr>
            <w:tcW w:type="dxa" w:w="20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Investment 2027 (USD)</w:t>
            </w:r>
          </w:p>
        </w:tc>
        <w:tc>
          <w:tcPr>
            <w:tcW w:type="dxa" w:w="13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Timing</w:t>
            </w:r>
          </w:p>
        </w:tc>
        <w:tc>
          <w:tcPr>
            <w:tcW w:type="dxa" w:w="296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Main KPI</w:t>
            </w:r>
          </w:p>
        </w:tc>
      </w:tr>
      <w:tr>
        <w:trPr>
          <w:tblHeader w:val="off"/>
        </w:trPr>
        <w:tc>
          <w:tcPr>
            <w:tcW w:type="dxa" w:w="3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Digital queueing and appointments</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420,000</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Q1–Q2</w:t>
            </w:r>
          </w:p>
        </w:tc>
        <w:tc>
          <w:tcPr>
            <w:tcW w:type="dxa" w:w="29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Customers using digital queueing: 40%</w:t>
            </w:r>
          </w:p>
        </w:tc>
      </w:tr>
      <w:tr>
        <w:trPr>
          <w:tblHeader w:val="off"/>
        </w:trPr>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Assisted self-service kiosks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760,000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Q2–Q3</w:t>
            </w:r>
          </w:p>
        </w:tc>
        <w:tc>
          <w:tcPr>
            <w:tcW w:type="dxa" w:w="2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Self-service share: 35%</w:t>
            </w:r>
          </w:p>
        </w:tc>
      </w:tr>
      <w:tr>
        <w:trPr>
          <w:tblHeader w:val="off"/>
        </w:trPr>
        <w:tc>
          <w:tcPr>
            <w:tcW w:type="dxa" w:w="3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Universal adviser training</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230,000</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Q1–Q4</w:t>
            </w:r>
          </w:p>
        </w:tc>
        <w:tc>
          <w:tcPr>
            <w:tcW w:type="dxa" w:w="29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First-contact resolution: 75%</w:t>
            </w:r>
          </w:p>
        </w:tc>
      </w:tr>
      <w:tr>
        <w:trPr>
          <w:tblHeader w:val="off"/>
        </w:trPr>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Customer-flow analytics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right"/>
            </w:pPr>
            <w:r>
              <w:rPr>
                <w:b w:val="false"/>
                <w:bCs w:val="false"/>
                <w:sz w:val="19"/>
                <w:szCs w:val="19"/>
              </w:rPr>
              <w:t xml:space="preserve">390,000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Q2–Q4</w:t>
            </w:r>
          </w:p>
        </w:tc>
        <w:tc>
          <w:tcPr>
            <w:tcW w:type="dxa" w:w="2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Average wait: 12 minutes</w:t>
            </w:r>
          </w:p>
        </w:tc>
      </w:tr>
      <w:tr>
        <w:trPr>
          <w:tblHeader w:val="off"/>
        </w:trPr>
        <w:tc>
          <w:tcPr>
            <w:tcW w:type="dxa" w:w="3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Total Agile Branch plan</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right"/>
            </w:pPr>
            <w:r>
              <w:rPr>
                <w:b w:val="false"/>
                <w:bCs w:val="false"/>
                <w:sz w:val="19"/>
                <w:szCs w:val="19"/>
              </w:rPr>
              <w:t xml:space="preserve">1,800,000</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p>
        </w:tc>
        <w:tc>
          <w:tcPr>
            <w:tcW w:type="dxa" w:w="29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p>
        </w:tc>
      </w:tr>
    </w:tbl>
    <w:p>
      <w:pPr>
        <w:spacing w:after="80"/>
      </w:pPr>
    </w:p>
    <w:p>
      <w:pPr>
        <w:spacing w:after="120" w:line="276"/>
      </w:pPr>
      <w:r>
        <w:t xml:space="preserve">The investment in the Agile Branch plan is expected to pay back in 26 months, based on lower overtime costs, fewer repeat visits and the revenue impact of a higher NPS. The Copilot rollout and the product-information repository are funded from the existing technology budget.</w:t>
      </w:r>
    </w:p>
    <w:p>
      <w:pPr>
        <w:pStyle w:val="Heading1"/>
      </w:pPr>
      <w:r>
        <w:t xml:space="preserve">Appendix A. Methodology</w:t>
      </w:r>
    </w:p>
    <w:p>
      <w:pPr>
        <w:spacing w:after="120" w:line="276"/>
      </w:pPr>
      <w:r>
        <w:t xml:space="preserve">Customer experience indicators come from the annual survey of 2,400 branch customers conducted in September 2026. Operating indicators come from the queue-management system and the core banking system. Financial figures correspond to the retail perimeter of six branches and their associated digital operations and are expressed in US dollars. All figures in this document are fictitious and were created for training purposes.</w:t>
      </w:r>
    </w:p>
    <w:p>
      <w:pPr>
        <w:pStyle w:val="Heading1"/>
      </w:pPr>
      <w:r>
        <w:t xml:space="preserve">Appendix B. Glossary</w:t>
      </w:r>
    </w:p>
    <w:p>
      <w:pPr>
        <w:pStyle w:val="ListParagraph"/>
        <w:numPr>
          <w:ilvl w:val="0"/>
          <w:numId w:val="2"/>
        </w:numPr>
        <w:spacing w:after="60"/>
      </w:pPr>
      <w:r>
        <w:rPr>
          <w:b/>
          <w:bCs/>
        </w:rPr>
        <w:t xml:space="preserve">NPS (Net Promoter Score)</w:t>
      </w:r>
      <w:r>
        <w:t xml:space="preserve">: percentage of promoters minus percentage of detractors, on a scale from −100 to +100.</w:t>
      </w:r>
    </w:p>
    <w:p>
      <w:pPr>
        <w:pStyle w:val="ListParagraph"/>
        <w:numPr>
          <w:ilvl w:val="0"/>
          <w:numId w:val="2"/>
        </w:numPr>
        <w:spacing w:after="60"/>
      </w:pPr>
      <w:r>
        <w:rPr>
          <w:b/>
          <w:bCs/>
        </w:rPr>
        <w:t xml:space="preserve">CSAT</w:t>
      </w:r>
      <w:r>
        <w:t xml:space="preserve">: percentage of customers who are satisfied or very satisfied with a specific dimension of service.</w:t>
      </w:r>
    </w:p>
    <w:p>
      <w:pPr>
        <w:pStyle w:val="ListParagraph"/>
        <w:numPr>
          <w:ilvl w:val="0"/>
          <w:numId w:val="2"/>
        </w:numPr>
        <w:spacing w:after="60"/>
      </w:pPr>
      <w:r>
        <w:rPr>
          <w:b/>
          <w:bCs/>
        </w:rPr>
        <w:t xml:space="preserve">First-contact resolution</w:t>
      </w:r>
      <w:r>
        <w:t xml:space="preserve">: share of requests solved in the first interaction, without the customer having to return.</w:t>
      </w:r>
    </w:p>
    <w:p>
      <w:pPr>
        <w:pStyle w:val="ListParagraph"/>
        <w:numPr>
          <w:ilvl w:val="0"/>
          <w:numId w:val="2"/>
        </w:numPr>
        <w:spacing w:after="60"/>
      </w:pPr>
      <w:r>
        <w:rPr>
          <w:b/>
          <w:bCs/>
        </w:rPr>
        <w:t xml:space="preserve">Target attainment</w:t>
      </w:r>
      <w:r>
        <w:t xml:space="preserve">: actual revenue divided by the revenue target assigned to each branch.</w:t>
      </w:r>
    </w:p>
    <w:p>
      <w:pPr>
        <w:pStyle w:val="ListParagraph"/>
        <w:numPr>
          <w:ilvl w:val="0"/>
          <w:numId w:val="2"/>
        </w:numPr>
        <w:spacing w:after="60"/>
      </w:pPr>
      <w:r>
        <w:rPr>
          <w:b/>
          <w:bCs/>
        </w:rPr>
        <w:t xml:space="preserve">Cost-to-income ratio</w:t>
      </w:r>
      <w:r>
        <w:t xml:space="preserve">: operating costs divided by operating revenue.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Fictitious data for training purposes  ·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Banco Meridiano (fictitious entity) · Demo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n-US"/>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2A4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0F6CBD"/>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Metadata/LabelInfo.xml><?xml version="1.0" encoding="utf-8"?>
<clbl:labelList xmlns:clbl="http://schemas.microsoft.com/office/2020/mipLabelMetadata">
  <clbl:label id="{6a3e6502-054a-4b87-aed2-875b7aa540dd}" enabled="1" method="Privileged" siteId="{f9d98544-7ea3-4fb6-81b8-22c5176d37af}"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Experience and Digital Channels Annual Report 2026</dc:title>
  <dc:creator>Luis Orlando Maury Sánchez</dc:creator>
  <dc:description>Banco Meridiano (fictitious entity) · Retail Banking Division</dc:description>
  <cp:lastModifiedBy>Un-named</cp:lastModifiedBy>
  <cp:revision>1</cp:revision>
  <dcterms:created xsi:type="dcterms:W3CDTF">2026-10-22T11:49:38.261Z</dcterms:created>
  <dcterms:modified xsi:type="dcterms:W3CDTF">2026-10-22T11:49:38.262Z</dcterms:modified>
</cp:coreProperties>
</file>

<file path=docProps/custom.xml><?xml version="1.0" encoding="utf-8"?>
<Properties xmlns="http://schemas.openxmlformats.org/officeDocument/2006/custom-properties" xmlns:vt="http://schemas.openxmlformats.org/officeDocument/2006/docPropsVTypes"/>
</file>