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Borrador de comunicación - revisión periódica de portafolio</w:t>
      </w:r>
    </w:p>
    <w:p>
      <w:r>
        <w:rPr>
          <w:b/>
          <w:sz w:val="21"/>
        </w:rPr>
        <w:t>Caso ficticio de laboratorio | Cliente: pendiente de identificar</w:t>
      </w:r>
    </w:p>
    <w:p>
      <w:r>
        <w:rPr>
          <w:b/>
        </w:rPr>
        <w:t>DOCUMENTO FICTICIO PARA CAPACITACIÓN - NO REPRESENTA INFORMACIÓN, POLÍTICAS NI REQUISITOS REALES DE CIBEST CAPITAL.</w:t>
      </w:r>
    </w:p>
    <w:p>
      <w:pPr>
        <w:spacing w:after="120"/>
      </w:pPr>
      <w:r>
        <w:t>Luego de la revisión periódica del portafolio, queremos contarle varias cosas. Durante los últimos 12 meses el portafolio registró un rendimiento acumulado de 4,8 %, mientras que la referencia interna de seguimiento registró 5,6 %. La renta fija aportó 2,1 puntos porcentuales al resultado, la renta variable aportó 1,9 puntos y los instrumentos líquidos aportaron 0,8 puntos. En general el resultado ha sido razonable, aunque la diferencia frente a la referencia interna merece atención y, de hecho, es importante volver a mencionar que el portafolio obtuvo 4,8 % y la referencia 5,6 %, porque ese es uno de los puntos principales de la revisión.</w:t>
      </w:r>
    </w:p>
    <w:p>
      <w:pPr>
        <w:spacing w:after="120"/>
      </w:pPr>
      <w:r>
        <w:t>También observamos cambios en la composición. La exposición a renta variable pasó de 42 % a 47 %, la renta fija pasó de 48 % a 43 % y la liquidez se mantuvo en 10 %. No hubo aportes ni retiros durante el periodo. Lo que pasó con la renta variable es especialmente relevante porque, dentro de esa porción, la concentración del sector tecnología aumentó de 18 % a 26 %. Además, la duración promedio del componente de renta fija aumentó de 3,8 a 5,1 años y la exposición denominada en dólares pasó de 38 % a 46 %. Esto no significa por sí mismo que haya un problema, pero son cambios que tenemos que mirar y que pueden ser importantes o quizás no, dependiendo de lo que conversemos.</w:t>
      </w:r>
    </w:p>
    <w:p>
      <w:pPr>
        <w:spacing w:after="120"/>
      </w:pPr>
      <w:r>
        <w:t>Hay tres asuntos que conviene revisar: primero, la mayor concentración del sector tecnología; segundo, el incremento de la duración de renta fija; y tercero, el aumento de la exposición en dólares. Estos tres asuntos son los tres temas que recomendamos conversar en la próxima revisión. Aunque ya se indicó antes, repetimos que la renta variable subió a 47 % y que tecnología representa ahora 26 % de esa porción. El propósito de este mensaje es informar los resultados de la revisión y definir qué conviene revisar a continuación, pero también queremos que quede claro que todavía no se ha acordado ningún cambio de asignación.</w:t>
      </w:r>
    </w:p>
    <w:p>
      <w:pPr>
        <w:spacing w:after="120"/>
      </w:pPr>
      <w:r>
        <w:t>Como siguientes pasos, proponemos validar si los cambios observados corresponden a la asignación que se tenía prevista, revisar las necesidades de liquidez para el siguiente periodo y conversar nuevamente sobre las preferencias de riesgo antes de considerar ajustes. Podemos revisar estos puntos en la siguiente reunión. El equipo interno deberá conservar el detalle de los cálculos y verificar que cualquier comunicación posterior mantenga exactamente las cifras anteriores. Gracias y quedamos atentos; es importante atender esto pronto, aunque no se ha definido una urgencia específica.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