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de vinculación - laboratorio</w:t>
      </w:r>
    </w:p>
    <w:p>
      <w:r>
        <w:rPr>
          <w:b/>
        </w:rPr>
        <w:t>Versión LAB-1.0 | Uso exclusivo para capacitación</w:t>
      </w:r>
    </w:p>
    <w:p>
      <w:r>
        <w:rPr>
          <w:b/>
        </w:rPr>
        <w:t>DOCUMENTO FICTICIO PARA CAPACITACIÓN - NO REPRESENTA INFORMACIÓN, POLÍTICAS NI REQUISITOS REALES DE CIBEST CAPITAL.</w:t>
      </w:r>
    </w:p>
    <w:p>
      <w:pPr>
        <w:pStyle w:val="Heading1"/>
      </w:pPr>
      <w:r>
        <w:t>1. Objetivo y alcance</w:t>
      </w:r>
    </w:p>
    <w:p>
      <w:r>
        <w:t>Definir un flujo ficticio para recibir, revisar y completar solicitudes de vinculación de persona natural, persona jurídica y cliente institucional. No contiene reglas regulatorias reales ni sustituye políticas de una organización.</w:t>
      </w:r>
    </w:p>
    <w:p>
      <w:pPr>
        <w:pStyle w:val="Heading1"/>
      </w:pPr>
      <w:r>
        <w:t>2. Etapas del proceso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5184"/>
          </w:tcPr>
          <w:p>
            <w:r>
              <w:rPr>
                <w:b/>
                <w:sz w:val="17"/>
              </w:rPr>
              <w:t>Descripción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Recepción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Área Comercial recibe la solicitud, identifica el tipo de caso y registra un medio de contacto.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Prevalidación comercial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Área Comercial confirma que existe el formulario LAB-01 y que el tipo de caso está identificado. No aprueba documentos ni excepciones.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Revisión documental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Equipo de Vinculación compara lo recibido con la matriz y marca cada requisito como Recibido, Pendiente o No aplica.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Validación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Responsable de Validación revisa coherencia básica de los documentos asignados y registra observaciones.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Tratamiento de incompletos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Si falta un requisito obligatorio, el expediente queda Pendiente. Vinculación enumera faltantes y los canaliza al Área Comercial. No pasa a finalización.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Finalización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Con todos los requisitos obligatorios completos y validados, Vinculación marca el expediente como Completo y notifica al Área Comercial.</w:t>
            </w:r>
          </w:p>
        </w:tc>
      </w:tr>
    </w:tbl>
    <w:p>
      <w:pPr>
        <w:pStyle w:val="Heading1"/>
      </w:pPr>
      <w:r>
        <w:t>3. Reglas de laboratorio</w:t>
      </w:r>
    </w:p>
    <w:p>
      <w:pPr>
        <w:pStyle w:val="ListBullet"/>
        <w:spacing w:after="0"/>
      </w:pPr>
      <w:r>
        <w:t>No se permiten aprobaciones por excepción si una excepción no está expresamente descrita en las fuentes.</w:t>
      </w:r>
    </w:p>
    <w:p>
      <w:pPr>
        <w:pStyle w:val="ListBullet"/>
        <w:spacing w:after="0"/>
      </w:pPr>
      <w:r>
        <w:t>Cuando una consulta no pueda resolverse con los documentos disponibles, debe escalarse al área responsable en lugar de inventar una respuesta.</w:t>
      </w:r>
    </w:p>
    <w:p>
      <w:pPr>
        <w:pStyle w:val="ListBullet"/>
        <w:spacing w:after="0"/>
      </w:pPr>
      <w:r>
        <w:t>Los plazos de atención, cuando existan, se consultan en Preguntas frecuentes.</w:t>
      </w:r>
    </w:p>
    <w:p>
      <w:pPr>
        <w:pStyle w:val="ListBullet"/>
        <w:spacing w:after="0"/>
      </w:pPr>
      <w:r>
        <w:t>La clasificación de requisitos depende del tipo de caso y se consulta en la Matriz de requisitos documentales.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