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after="60" w:line="254" w:lineRule="auto"/>
      </w:pPr>
      <w:r>
        <w:t>GRUPO HORIZONTE  |  COMITÉ DIRECTIVO</w:t>
      </w:r>
    </w:p>
    <w:p>
      <w:pPr>
        <w:pStyle w:val="Title"/>
        <w:spacing w:after="60" w:line="254" w:lineRule="auto"/>
      </w:pPr>
      <w:r>
        <w:t>Dossier de decisión: estabilización del canal digital</w:t>
      </w:r>
    </w:p>
    <w:p>
      <w:pPr>
        <w:spacing w:after="60" w:line="254" w:lineRule="auto"/>
      </w:pPr>
      <w:r>
        <w:rPr>
          <w:i/>
          <w:sz w:val="19"/>
        </w:rPr>
        <w:t>Decisión prevista: 4 de noviembre de 2026  |  Periodo analizado: enero-septiembre 2026  |  Versión: 1.0</w:t>
      </w:r>
    </w:p>
    <w:p>
      <w:pPr>
        <w:pStyle w:val="Heading1"/>
        <w:spacing w:after="60" w:line="254" w:lineRule="auto"/>
      </w:pPr>
      <w:r>
        <w:t>1. Resumen ejecutivo</w:t>
      </w:r>
    </w:p>
    <w:p>
      <w:pPr>
        <w:spacing w:after="60" w:line="254" w:lineRule="auto"/>
      </w:pPr>
      <w:r>
        <w:rPr>
          <w:sz w:val="19"/>
        </w:rPr>
        <w:t>Grupo Horizonte opera tres líneas de negocio: Canal Digital, Pymes y Empresas. La dirección evalúa cómo reducir incidentes críticos y mejorar tiempos de respuesta sin detener el crecimiento del canal digital. La decisión pendiente no consiste en aprobar una expansión comercial, sino en seleccionar el nivel de inversión de estabilización operativa para el cierre de 2026 y el inicio de 2027.</w:t>
      </w:r>
    </w:p>
    <w:p>
      <w:pPr>
        <w:spacing w:after="60" w:line="254" w:lineRule="auto"/>
      </w:pPr>
      <w:r>
        <w:rPr>
          <w:sz w:val="19"/>
        </w:rPr>
        <w:t>En Canal Digital, el cumplimiento ponderado de reclamos resueltos antes de 48 horas pasó de 93.9% en enero-marzo a 79.2% en julio-septiembre. Los incidentes críticos aumentaron de 10 en el primer trimestre a 36 en el tercero. Estos valores proceden del archivo Indicadores_operativos_2026.xlsx, hoja Base_Datos.</w:t>
      </w:r>
    </w:p>
    <w:p>
      <w:pPr>
        <w:spacing w:after="60" w:line="254" w:lineRule="auto"/>
      </w:pPr>
      <w:r>
        <w:rPr>
          <w:sz w:val="19"/>
        </w:rPr>
        <w:t>Hipótesis de gestión: el deterioro del servicio amenaza el crecimiento si se prioriza únicamente la expansión de funcionalidades. Debe comprobarse con un diagnóstico antes de atribuir causalidad a un proveedor o equipo.</w:t>
      </w:r>
    </w:p>
    <w:p>
      <w:pPr>
        <w:pStyle w:val="Heading1"/>
        <w:spacing w:after="60" w:line="254" w:lineRule="auto"/>
      </w:pPr>
      <w:r>
        <w:t>2. Alcance de la decisión</w:t>
      </w:r>
    </w:p>
    <w:p>
      <w:pPr>
        <w:spacing w:after="60" w:line="254" w:lineRule="auto"/>
      </w:pPr>
      <w:r>
        <w:rPr>
          <w:sz w:val="19"/>
        </w:rPr>
        <w:t>La propuesta debe identificar una alternativa para: (a) recuperar el SLA objetivo interno del 92 % en la atención de reclamos en menos de 48 horas; (b) reducir recurrencia de incidentes críticos; (c) sostener la operación durante el incremento de transacciones; (d) establecer gobierno de seguimiento.</w:t>
      </w:r>
    </w:p>
    <w:p>
      <w:pPr>
        <w:spacing w:after="60" w:line="254" w:lineRule="auto"/>
      </w:pPr>
      <w:r>
        <w:rPr>
          <w:sz w:val="19"/>
        </w:rPr>
        <w:t>No se solicita decidir sobre adquisición de clientes, pricing, automatización de decisiones crediticias ni uso de información personal en sistemas de IA.</w:t>
      </w:r>
    </w:p>
    <w:p>
      <w:pPr>
        <w:pStyle w:val="Heading1"/>
        <w:spacing w:after="60" w:line="254" w:lineRule="auto"/>
      </w:pPr>
      <w:r>
        <w:t>3. Alternativas a evaluar</w:t>
      </w:r>
    </w:p>
    <w:tbl>
      <w:tblPr>
        <w:tblStyle w:val="LightShading-Accent1"/>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1800"/>
            <w:vAlign w:val="center"/>
          </w:tcPr>
          <w:p>
            <w:pPr>
              <w:spacing w:after="20" w:line="240" w:lineRule="auto"/>
            </w:pPr>
            <w:r>
              <w:rPr>
                <w:rFonts w:ascii="Aptos" w:hAnsi="Aptos"/>
                <w:color w:val="162F47"/>
                <w:sz w:val="18"/>
              </w:rPr>
              <w:t>Opción</w:t>
            </w:r>
          </w:p>
        </w:tc>
        <w:tc>
          <w:tcPr>
            <w:tcW w:type="dxa" w:w="1944"/>
            <w:vAlign w:val="center"/>
          </w:tcPr>
          <w:p>
            <w:pPr>
              <w:spacing w:after="20" w:line="240" w:lineRule="auto"/>
            </w:pPr>
            <w:r>
              <w:rPr>
                <w:rFonts w:ascii="Aptos" w:hAnsi="Aptos"/>
                <w:color w:val="162F47"/>
                <w:sz w:val="18"/>
              </w:rPr>
              <w:t>Inversión estimada</w:t>
            </w:r>
          </w:p>
        </w:tc>
        <w:tc>
          <w:tcPr>
            <w:tcW w:type="dxa" w:w="3168"/>
            <w:vAlign w:val="center"/>
          </w:tcPr>
          <w:p>
            <w:pPr>
              <w:spacing w:after="20" w:line="240" w:lineRule="auto"/>
            </w:pPr>
            <w:r>
              <w:rPr>
                <w:rFonts w:ascii="Aptos" w:hAnsi="Aptos"/>
                <w:color w:val="162F47"/>
                <w:sz w:val="18"/>
              </w:rPr>
              <w:t>Acciones principales</w:t>
            </w:r>
          </w:p>
        </w:tc>
        <w:tc>
          <w:tcPr>
            <w:tcW w:type="dxa" w:w="4104"/>
            <w:vAlign w:val="center"/>
          </w:tcPr>
          <w:p>
            <w:pPr>
              <w:spacing w:after="20" w:line="240" w:lineRule="auto"/>
            </w:pPr>
            <w:r>
              <w:rPr>
                <w:rFonts w:ascii="Aptos" w:hAnsi="Aptos"/>
                <w:color w:val="162F47"/>
                <w:sz w:val="18"/>
              </w:rPr>
              <w:t>Restricción / consecuencia</w:t>
            </w:r>
          </w:p>
        </w:tc>
      </w:tr>
      <w:tr>
        <w:trPr>
          <w:cantSplit/>
        </w:trPr>
        <w:tc>
          <w:tcPr>
            <w:tcW w:type="dxa" w:w="1800"/>
            <w:vAlign w:val="center"/>
          </w:tcPr>
          <w:p>
            <w:pPr>
              <w:spacing w:after="20" w:line="240" w:lineRule="auto"/>
            </w:pPr>
            <w:r>
              <w:rPr>
                <w:rFonts w:ascii="Aptos" w:hAnsi="Aptos"/>
                <w:color w:val="162F47"/>
                <w:sz w:val="18"/>
              </w:rPr>
              <w:t>A. Contención</w:t>
            </w:r>
          </w:p>
        </w:tc>
        <w:tc>
          <w:tcPr>
            <w:tcW w:type="dxa" w:w="1944"/>
            <w:vAlign w:val="center"/>
          </w:tcPr>
          <w:p>
            <w:pPr>
              <w:spacing w:after="20" w:line="240" w:lineRule="auto"/>
            </w:pPr>
            <w:r>
              <w:rPr>
                <w:rFonts w:ascii="Aptos" w:hAnsi="Aptos"/>
                <w:color w:val="162F47"/>
                <w:sz w:val="18"/>
              </w:rPr>
              <w:t>8 millones UM</w:t>
            </w:r>
          </w:p>
        </w:tc>
        <w:tc>
          <w:tcPr>
            <w:tcW w:type="dxa" w:w="3168"/>
            <w:vAlign w:val="center"/>
          </w:tcPr>
          <w:p>
            <w:pPr>
              <w:spacing w:after="20" w:line="240" w:lineRule="auto"/>
            </w:pPr>
            <w:r>
              <w:rPr>
                <w:rFonts w:ascii="Aptos" w:hAnsi="Aptos"/>
                <w:color w:val="162F47"/>
                <w:sz w:val="18"/>
              </w:rPr>
              <w:t>Refuerzo de soporte y corrección de incidencias prioritarias</w:t>
            </w:r>
          </w:p>
        </w:tc>
        <w:tc>
          <w:tcPr>
            <w:tcW w:type="dxa" w:w="4104"/>
            <w:vAlign w:val="center"/>
          </w:tcPr>
          <w:p>
            <w:pPr>
              <w:spacing w:after="20" w:line="240" w:lineRule="auto"/>
            </w:pPr>
            <w:r>
              <w:rPr>
                <w:rFonts w:ascii="Aptos" w:hAnsi="Aptos"/>
                <w:color w:val="162F47"/>
                <w:sz w:val="18"/>
              </w:rPr>
              <w:t>Alivia presión inmediata; sin rediseño preventivo</w:t>
            </w:r>
          </w:p>
        </w:tc>
      </w:tr>
      <w:tr>
        <w:trPr>
          <w:cantSplit/>
        </w:trPr>
        <w:tc>
          <w:tcPr>
            <w:tcW w:type="dxa" w:w="1800"/>
            <w:vAlign w:val="center"/>
          </w:tcPr>
          <w:p>
            <w:pPr>
              <w:spacing w:after="20" w:line="240" w:lineRule="auto"/>
            </w:pPr>
            <w:r>
              <w:rPr>
                <w:rFonts w:ascii="Aptos" w:hAnsi="Aptos"/>
                <w:color w:val="162F47"/>
                <w:sz w:val="18"/>
              </w:rPr>
              <w:t>B. Estabilización</w:t>
            </w:r>
          </w:p>
        </w:tc>
        <w:tc>
          <w:tcPr>
            <w:tcW w:type="dxa" w:w="1944"/>
            <w:vAlign w:val="center"/>
          </w:tcPr>
          <w:p>
            <w:pPr>
              <w:spacing w:after="20" w:line="240" w:lineRule="auto"/>
            </w:pPr>
            <w:r>
              <w:rPr>
                <w:rFonts w:ascii="Aptos" w:hAnsi="Aptos"/>
                <w:color w:val="162F47"/>
                <w:sz w:val="18"/>
              </w:rPr>
              <w:t>18 millones UM</w:t>
            </w:r>
          </w:p>
        </w:tc>
        <w:tc>
          <w:tcPr>
            <w:tcW w:type="dxa" w:w="3168"/>
            <w:vAlign w:val="center"/>
          </w:tcPr>
          <w:p>
            <w:pPr>
              <w:spacing w:after="20" w:line="240" w:lineRule="auto"/>
            </w:pPr>
            <w:r>
              <w:rPr>
                <w:rFonts w:ascii="Aptos" w:hAnsi="Aptos"/>
                <w:color w:val="162F47"/>
                <w:sz w:val="18"/>
              </w:rPr>
              <w:t>Monitoreo preventivo, automatización de alertas y plan de continuidad</w:t>
            </w:r>
          </w:p>
        </w:tc>
        <w:tc>
          <w:tcPr>
            <w:tcW w:type="dxa" w:w="4104"/>
            <w:vAlign w:val="center"/>
          </w:tcPr>
          <w:p>
            <w:pPr>
              <w:spacing w:after="20" w:line="240" w:lineRule="auto"/>
            </w:pPr>
            <w:r>
              <w:rPr>
                <w:rFonts w:ascii="Aptos" w:hAnsi="Aptos"/>
                <w:color w:val="162F47"/>
                <w:sz w:val="18"/>
              </w:rPr>
              <w:t>Requiere gobierno y aceptación de cronograma</w:t>
            </w:r>
          </w:p>
        </w:tc>
      </w:tr>
      <w:tr>
        <w:trPr>
          <w:cantSplit/>
        </w:trPr>
        <w:tc>
          <w:tcPr>
            <w:tcW w:type="dxa" w:w="1800"/>
            <w:vAlign w:val="center"/>
          </w:tcPr>
          <w:p>
            <w:pPr>
              <w:spacing w:after="20" w:line="240" w:lineRule="auto"/>
            </w:pPr>
            <w:r>
              <w:rPr>
                <w:rFonts w:ascii="Aptos" w:hAnsi="Aptos"/>
                <w:color w:val="162F47"/>
                <w:sz w:val="18"/>
              </w:rPr>
              <w:t>C. Expansión acelerada</w:t>
            </w:r>
          </w:p>
        </w:tc>
        <w:tc>
          <w:tcPr>
            <w:tcW w:type="dxa" w:w="1944"/>
            <w:vAlign w:val="center"/>
          </w:tcPr>
          <w:p>
            <w:pPr>
              <w:spacing w:after="20" w:line="240" w:lineRule="auto"/>
            </w:pPr>
            <w:r>
              <w:rPr>
                <w:rFonts w:ascii="Aptos" w:hAnsi="Aptos"/>
                <w:color w:val="162F47"/>
                <w:sz w:val="18"/>
              </w:rPr>
              <w:t>31 millones UM</w:t>
            </w:r>
          </w:p>
        </w:tc>
        <w:tc>
          <w:tcPr>
            <w:tcW w:type="dxa" w:w="3168"/>
            <w:vAlign w:val="center"/>
          </w:tcPr>
          <w:p>
            <w:pPr>
              <w:spacing w:after="20" w:line="240" w:lineRule="auto"/>
            </w:pPr>
            <w:r>
              <w:rPr>
                <w:rFonts w:ascii="Aptos" w:hAnsi="Aptos"/>
                <w:color w:val="162F47"/>
                <w:sz w:val="18"/>
              </w:rPr>
              <w:t>Estabilización más ampliación de capacidad y servicios</w:t>
            </w:r>
          </w:p>
        </w:tc>
        <w:tc>
          <w:tcPr>
            <w:tcW w:type="dxa" w:w="4104"/>
            <w:vAlign w:val="center"/>
          </w:tcPr>
          <w:p>
            <w:pPr>
              <w:spacing w:after="20" w:line="240" w:lineRule="auto"/>
            </w:pPr>
            <w:r>
              <w:rPr>
                <w:rFonts w:ascii="Aptos" w:hAnsi="Aptos"/>
                <w:color w:val="162F47"/>
                <w:sz w:val="18"/>
              </w:rPr>
              <w:t>Mayor exposición de ejecución; no resuelve automáticamente calidad</w:t>
            </w:r>
          </w:p>
        </w:tc>
      </w:tr>
    </w:tbl>
    <w:p>
      <w:pPr>
        <w:spacing w:after="60" w:line="254" w:lineRule="auto"/>
      </w:pPr>
      <w:r>
        <w:rPr>
          <w:sz w:val="19"/>
        </w:rPr>
        <w:t>Los importes de las alternativas son escenarios de decisión para el laboratorio; no están contabilizados en las columnas de costos operativos del archivo Excel. No deben sumarse al histórico para evaluar márgenes observados.</w:t>
      </w:r>
    </w:p>
    <w:p>
      <w:pPr>
        <w:pStyle w:val="Heading1"/>
        <w:spacing w:after="60" w:line="254" w:lineRule="auto"/>
      </w:pPr>
      <w:r>
        <w:t>4. Evidencia disponible y brechas</w:t>
      </w:r>
    </w:p>
    <w:p>
      <w:pPr>
        <w:pStyle w:val="ListBullet"/>
        <w:spacing w:after="60" w:line="254" w:lineRule="auto"/>
      </w:pPr>
      <w:r>
        <w:t>Archivo de indicadores 2026: ingresos, costos, transacciones, incidentes críticos y reclamos por línea y mes.</w:t>
      </w:r>
    </w:p>
    <w:p>
      <w:pPr>
        <w:pStyle w:val="ListBullet"/>
        <w:spacing w:after="60" w:line="254" w:lineRule="auto"/>
      </w:pPr>
      <w:r>
        <w:t>Cadena de correos del proyecto: solicitud de incluir las alternativas para discusión del Comité; no consta aprobación presupuestaria definitiva.</w:t>
      </w:r>
    </w:p>
    <w:p>
      <w:pPr>
        <w:pStyle w:val="ListBullet"/>
        <w:spacing w:after="60" w:line="254" w:lineRule="auto"/>
      </w:pPr>
      <w:r>
        <w:t>Reunión de preparación: acuerdos, responsables y plazos se capturarán con Facilitador, si la reunión de práctica se celebra con la función habilitada.</w:t>
      </w:r>
    </w:p>
    <w:p>
      <w:pPr>
        <w:pStyle w:val="ListBullet"/>
        <w:spacing w:after="60" w:line="254" w:lineRule="auto"/>
      </w:pPr>
      <w:r>
        <w:t>Brecha de información: no existe todavía un estudio de causas raíz, una validación de proveedor ni un cálculo completo de ROI.</w:t>
      </w:r>
    </w:p>
    <w:p>
      <w:pPr>
        <w:pStyle w:val="ListBullet"/>
        <w:spacing w:after="60" w:line="254" w:lineRule="auto"/>
      </w:pPr>
      <w:r>
        <w:t>Brecha de decisión: no se ha aprobado ninguna alternativa. La recomendación debe ser condicional, con criterios de salida y responsables.</w:t>
      </w:r>
    </w:p>
    <w:p>
      <w:pPr>
        <w:pStyle w:val="Heading1"/>
        <w:spacing w:after="60" w:line="254" w:lineRule="auto"/>
      </w:pPr>
      <w:r>
        <w:t>5. Riesgos, mitigaciones y preguntas a resolver</w:t>
      </w:r>
    </w:p>
    <w:p>
      <w:pPr>
        <w:spacing w:after="60" w:line="254" w:lineRule="auto"/>
      </w:pPr>
      <w:r>
        <w:rPr>
          <w:sz w:val="19"/>
        </w:rPr>
        <w:t>Riesgo operativo: Persistencia de incidentes en Canal Digital. Mitigación propuesta: triaje, métricas diarias y plan de contingencia para picos.</w:t>
      </w:r>
    </w:p>
    <w:p>
      <w:pPr>
        <w:spacing w:after="60" w:line="254" w:lineRule="auto"/>
      </w:pPr>
      <w:r>
        <w:rPr>
          <w:sz w:val="19"/>
        </w:rPr>
        <w:t>Riesgo de calidad: Resolución tardía de reclamos. Mitigación propuesta: priorización por severidad y seguimiento semanal de SLA.</w:t>
      </w:r>
    </w:p>
    <w:p>
      <w:pPr>
        <w:spacing w:after="60" w:line="254" w:lineRule="auto"/>
      </w:pPr>
      <w:r>
        <w:rPr>
          <w:sz w:val="19"/>
        </w:rPr>
        <w:t>Riesgo de inversión: Aprobar capacidad adicional sin demostrar mejora de estabilidad. Mitigación: desembolso por hitos verificables.</w:t>
      </w:r>
    </w:p>
    <w:p>
      <w:pPr>
        <w:spacing w:after="60" w:line="254" w:lineRule="auto"/>
      </w:pPr>
      <w:r>
        <w:rPr>
          <w:sz w:val="19"/>
        </w:rPr>
        <w:t>Preguntas del comité: ¿Qué causa el deterioro? ¿Qué mejora verificable tendrá la opción B? ¿Qué métrica activará la fase 2? ¿Qué controles evitan usar datos de clientes para demostraciones?</w:t>
      </w:r>
    </w:p>
    <w:p>
      <w:pPr>
        <w:pStyle w:val="Heading1"/>
        <w:spacing w:after="60" w:line="254" w:lineRule="auto"/>
      </w:pPr>
      <w:r>
        <w:t>6. Criterios de recomendación</w:t>
      </w:r>
    </w:p>
    <w:p>
      <w:pPr>
        <w:spacing w:after="60" w:line="254" w:lineRule="auto"/>
      </w:pPr>
      <w:r>
        <w:rPr>
          <w:sz w:val="19"/>
        </w:rPr>
        <w:t>Criterio 1: impacto esperado sobre el SLA y los incidentes. Criterio 2: riesgo de implementación. Criterio 3: inversión incremental en millones UM. Criterio 4: trazabilidad de responsables e hitos. No confundir hipótesis con hallazgos calculados ni presentar la estimación presupuestaria como costo incurrido.</w:t>
      </w:r>
    </w:p>
    <w:p>
      <w:pPr>
        <w:spacing w:after="60" w:line="254" w:lineRule="auto"/>
      </w:pPr>
      <w:r>
        <w:rPr>
          <w:sz w:val="19"/>
        </w:rPr>
        <w:t>Se espera un briefing directivo de una página o una presentación de 5 a 6 diapositivas: problema, evidencia, alternativas, recomendación condicionada, riesgos, decisión requerida y próximos pasos.</w:t>
      </w:r>
    </w:p>
    <w:p>
      <w:pPr>
        <w:pStyle w:val="Heading1"/>
        <w:spacing w:after="60" w:line="254" w:lineRule="auto"/>
      </w:pPr>
      <w:r>
        <w:t>7. Agenda sugerida del comité</w:t>
      </w:r>
    </w:p>
    <w:p>
      <w:pPr>
        <w:pStyle w:val="ListBullet"/>
        <w:spacing w:after="60" w:line="254" w:lineRule="auto"/>
      </w:pPr>
      <w:r>
        <w:t>5 min — Contexto y tendencia operativa</w:t>
      </w:r>
    </w:p>
    <w:p>
      <w:pPr>
        <w:pStyle w:val="ListBullet"/>
        <w:spacing w:after="60" w:line="254" w:lineRule="auto"/>
      </w:pPr>
      <w:r>
        <w:t>8 min — Indicadores de Canal Digital y comparación con otras líneas</w:t>
      </w:r>
    </w:p>
    <w:p>
      <w:pPr>
        <w:pStyle w:val="ListBullet"/>
        <w:spacing w:after="60" w:line="254" w:lineRule="auto"/>
      </w:pPr>
      <w:r>
        <w:t>7 min — Discusión de alternativas y riesgos</w:t>
      </w:r>
    </w:p>
    <w:p>
      <w:pPr>
        <w:pStyle w:val="ListBullet"/>
        <w:spacing w:after="60" w:line="254" w:lineRule="auto"/>
      </w:pPr>
      <w:r>
        <w:t>5 min — Decisión condicionada, responsables e hitos</w:t>
      </w:r>
    </w:p>
    <w:p>
      <w:pPr>
        <w:pStyle w:val="Heading1"/>
        <w:spacing w:after="60" w:line="254" w:lineRule="auto"/>
      </w:pPr>
      <w:r>
        <w:t>8. Convenciones del escenario</w:t>
      </w:r>
    </w:p>
    <w:p>
      <w:pPr>
        <w:spacing w:after="60" w:line="254" w:lineRule="auto"/>
      </w:pPr>
      <w:r>
        <w:rPr>
          <w:sz w:val="19"/>
        </w:rPr>
        <w:t>UM = unidad monetaria de referencia del caso. La meta del 92 % es un objetivo interno del escenario, no un estándar regulatorio. Todos los nombres y los registros corresponden al escenario didáctico. Los meses futuros no están presentes en la base de datos. La creación o publicación de mensajes y decisiones reales requiere revisión y aprobación humana.</w:t>
      </w:r>
    </w:p>
    <w:sectPr w:rsidR="00FC693F" w:rsidRPr="0006063C" w:rsidSect="00034616">
      <w:footerReference w:type="default" r:id="rId9"/>
      <w:pgSz w:w="12240" w:h="15840"/>
      <w:pgMar w:top="936" w:right="1224" w:bottom="835"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Grupo Horizonte  |  Material de escenario para actividades de Copilot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3315C"/>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331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3315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2679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