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TechNova Solutions</w:t>
      </w:r>
    </w:p>
    <w:p>
      <w:pPr>
        <w:pStyle w:val="Heading1"/>
        <w:spacing w:after="120" w:before="240"/>
      </w:pPr>
      <w:r>
        <w:t xml:space="preserve">Política de Vacaciones 2026</w:t>
      </w:r>
    </w:p>
    <w:p>
      <w:pPr>
        <w:spacing w:after="160"/>
      </w:pPr>
      <w:r>
        <w:t xml:space="preserve">Documento de referencia interna. Versión 2026. Aplica a todo el personal de TechNova Solutions bajo contrato indefinido o de tiempo determinado mayor a 6 meses.</w:t>
      </w:r>
    </w:p>
    <w:p>
      <w:pPr>
        <w:pStyle w:val="Heading2"/>
        <w:spacing w:after="120" w:before="240"/>
      </w:pPr>
      <w:r>
        <w:t xml:space="preserve">1. Días de vacaciones por antigüedad</w:t>
      </w:r>
    </w:p>
    <w:p>
      <w:pPr>
        <w:spacing w:after="160"/>
      </w:pPr>
      <w:r>
        <w:t xml:space="preserve">Los colaboradores de TechNova Solutions acumulan días de vacaciones pagadas según su antigüedad en la empresa, conforme a la siguiente tabla: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Antigüedad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Días hábiles de vacaciones al año</w:t>
            </w:r>
          </w:p>
        </w:tc>
      </w:tr>
      <w:tr>
        <w:tc>
          <w:tcPr>
            <w:tcW w:type="dxa" w:w="4500"/>
          </w:tcPr>
          <w:p>
            <w:r>
              <w:t xml:space="preserve">Menos de 1 año</w:t>
            </w:r>
          </w:p>
        </w:tc>
        <w:tc>
          <w:tcPr>
            <w:tcW w:type="dxa" w:w="4500"/>
          </w:tcPr>
          <w:p>
            <w:r>
              <w:t xml:space="preserve">6 días (proporcional al tiempo trabajado)</w:t>
            </w:r>
          </w:p>
        </w:tc>
      </w:tr>
      <w:tr>
        <w:tc>
          <w:tcPr>
            <w:tcW w:type="dxa" w:w="4500"/>
          </w:tcPr>
          <w:p>
            <w:r>
              <w:t xml:space="preserve">1 año</w:t>
            </w:r>
          </w:p>
        </w:tc>
        <w:tc>
          <w:tcPr>
            <w:tcW w:type="dxa" w:w="4500"/>
          </w:tcPr>
          <w:p>
            <w:r>
              <w:t xml:space="preserve">12 días</w:t>
            </w:r>
          </w:p>
        </w:tc>
      </w:tr>
      <w:tr>
        <w:tc>
          <w:tcPr>
            <w:tcW w:type="dxa" w:w="4500"/>
          </w:tcPr>
          <w:p>
            <w:r>
              <w:t xml:space="preserve">2 años</w:t>
            </w:r>
          </w:p>
        </w:tc>
        <w:tc>
          <w:tcPr>
            <w:tcW w:type="dxa" w:w="4500"/>
          </w:tcPr>
          <w:p>
            <w:r>
              <w:t xml:space="preserve">14 días</w:t>
            </w:r>
          </w:p>
        </w:tc>
      </w:tr>
      <w:tr>
        <w:tc>
          <w:tcPr>
            <w:tcW w:type="dxa" w:w="4500"/>
          </w:tcPr>
          <w:p>
            <w:r>
              <w:t xml:space="preserve">3 años</w:t>
            </w:r>
          </w:p>
        </w:tc>
        <w:tc>
          <w:tcPr>
            <w:tcW w:type="dxa" w:w="4500"/>
          </w:tcPr>
          <w:p>
            <w:r>
              <w:t xml:space="preserve">16 días</w:t>
            </w:r>
          </w:p>
        </w:tc>
      </w:tr>
      <w:tr>
        <w:tc>
          <w:tcPr>
            <w:tcW w:type="dxa" w:w="4500"/>
          </w:tcPr>
          <w:p>
            <w:r>
              <w:t xml:space="preserve">4 años</w:t>
            </w:r>
          </w:p>
        </w:tc>
        <w:tc>
          <w:tcPr>
            <w:tcW w:type="dxa" w:w="4500"/>
          </w:tcPr>
          <w:p>
            <w:r>
              <w:t xml:space="preserve">18 días</w:t>
            </w:r>
          </w:p>
        </w:tc>
      </w:tr>
      <w:tr>
        <w:tc>
          <w:tcPr>
            <w:tcW w:type="dxa" w:w="4500"/>
          </w:tcPr>
          <w:p>
            <w:r>
              <w:t xml:space="preserve">5 a 9 años</w:t>
            </w:r>
          </w:p>
        </w:tc>
        <w:tc>
          <w:tcPr>
            <w:tcW w:type="dxa" w:w="4500"/>
          </w:tcPr>
          <w:p>
            <w:r>
              <w:t xml:space="preserve">20 días</w:t>
            </w:r>
          </w:p>
        </w:tc>
      </w:tr>
      <w:tr>
        <w:tc>
          <w:tcPr>
            <w:tcW w:type="dxa" w:w="4500"/>
          </w:tcPr>
          <w:p>
            <w:r>
              <w:t xml:space="preserve">10 años en adelante</w:t>
            </w:r>
          </w:p>
        </w:tc>
        <w:tc>
          <w:tcPr>
            <w:tcW w:type="dxa" w:w="4500"/>
          </w:tcPr>
          <w:p>
            <w:r>
              <w:t xml:space="preserve">22 días (incrementa 2 días cada 5 años adicionales)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2. Proceso de solicitud</w:t>
      </w:r>
    </w:p>
    <w:p>
      <w:pPr>
        <w:spacing w:after="160"/>
      </w:pPr>
      <w:r>
        <w:t xml:space="preserve">Toda solicitud de vacaciones debe seguir el siguiente proceso: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colaborador ingresa a SAP SuccessFactors y crea una solicitud de vacaciones con al menos 10 días hábiles de anticipación.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supervisor directo recibe una notificación y debe aprobar o rechazar la solicitud dentro de 3 días hábiles.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vez aprobada, el sistema genera automáticamente un folio de confirmación (formato: VAC-2026-XXXXX).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colaborador recibe copia de la confirmación por correo electrónico.</w:t>
      </w:r>
    </w:p>
    <w:p>
      <w:pPr>
        <w:pStyle w:val="Heading2"/>
        <w:spacing w:after="120" w:before="240"/>
      </w:pPr>
      <w:r>
        <w:t xml:space="preserve">3. Restricciones y periodos de alta demanda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Durante la última semana de diciembre y la primera de enero, TechNova Solutions limita las vacaciones simultáneas al 30% del personal por departamento, por continuidad operativa.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colaboradores con menos de 3 meses de antigüedad no pueden solicitar más de 3 días consecutivos sin autorización especial de Recursos Humanos.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 vacaciones no utilizadas al cierre del año fiscal pueden diferirse hasta un máximo de 6 días hábiles al año siguiente, previa autorización del supervisor.</w:t>
      </w:r>
    </w:p>
    <w:p>
      <w:pPr>
        <w:pStyle w:val="Heading2"/>
        <w:spacing w:after="120" w:before="240"/>
      </w:pPr>
      <w:r>
        <w:t xml:space="preserve">4. Casos especiales</w:t>
      </w:r>
    </w:p>
    <w:p>
      <w:pPr>
        <w:spacing w:after="160"/>
      </w:pPr>
      <w:r>
        <w:t xml:space="preserve">Si un colaborador necesita tomar vacaciones de forma urgente por una emergencia familiar, puede solicitar una excepción al proceso estándar directamente con Recursos Humanos (rrhh@technova.com), quienes evaluarán el caso en un plazo máximo de 24 horas.</w:t>
      </w:r>
    </w:p>
    <w:p>
      <w:pPr>
        <w:pStyle w:val="Heading2"/>
        <w:spacing w:after="120" w:before="240"/>
      </w:pPr>
      <w:r>
        <w:t xml:space="preserve">5. Contacto</w:t>
      </w:r>
    </w:p>
    <w:p>
      <w:pPr>
        <w:spacing w:after="160"/>
      </w:pPr>
      <w:r>
        <w:t xml:space="preserve">Para dudas sobre esta política, contactar al equipo de Recursos Humanos: rrhh@technova.com o extensión 2100.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2026-09-08T16:49:49.085Z</dcterms:created>
  <dcterms:modified xsi:type="dcterms:W3CDTF">2026-09-08T16:49:49.099Z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