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TechNova Solutions</w:t>
      </w:r>
    </w:p>
    <w:p>
      <w:pPr>
        <w:pStyle w:val="Heading1"/>
        <w:spacing w:after="120" w:before="240"/>
      </w:pPr>
      <w:r>
        <w:t xml:space="preserve">Catálogo de Beneficios para Colaboradores 2026</w:t>
      </w:r>
    </w:p>
    <w:p>
      <w:pPr>
        <w:spacing w:after="160"/>
      </w:pPr>
      <w:r>
        <w:t xml:space="preserve">Este documento resume los beneficios disponibles para colaboradores de tiempo completo de TechNova Solutions con contrato vigente.</w:t>
      </w:r>
    </w:p>
    <w:p>
      <w:pPr>
        <w:pStyle w:val="Heading2"/>
        <w:spacing w:after="120" w:before="240"/>
      </w:pPr>
      <w:r>
        <w:t xml:space="preserve">1. Seguro médico mayor</w:t>
      </w:r>
    </w:p>
    <w:p>
      <w:pPr>
        <w:spacing w:after="160"/>
      </w:pPr>
      <w:r>
        <w:t xml:space="preserve">TechNova Solutions ofrece cobertura de seguro médico mayor a través de la aseguradora Vitalis Seguros, con las siguientes características: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Cobertura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4500"/>
          </w:tcPr>
          <w:p>
            <w:r>
              <w:t xml:space="preserve">Titular (colaborador)</w:t>
            </w:r>
          </w:p>
        </w:tc>
        <w:tc>
          <w:tcPr>
            <w:tcW w:type="dxa" w:w="4500"/>
          </w:tcPr>
          <w:p>
            <w:r>
              <w:t xml:space="preserve">100% cubierto por la empresa desde el día 1 de contratación</w:t>
            </w:r>
          </w:p>
        </w:tc>
      </w:tr>
      <w:tr>
        <w:tc>
          <w:tcPr>
            <w:tcW w:type="dxa" w:w="4500"/>
          </w:tcPr>
          <w:p>
            <w:r>
              <w:t xml:space="preserve">Cónyuge o pareja</w:t>
            </w:r>
          </w:p>
        </w:tc>
        <w:tc>
          <w:tcPr>
            <w:tcW w:type="dxa" w:w="4500"/>
          </w:tcPr>
          <w:p>
            <w:r>
              <w:t xml:space="preserve">Cobertura opcional, 50% subsidiado por la empresa</w:t>
            </w:r>
          </w:p>
        </w:tc>
      </w:tr>
      <w:tr>
        <w:tc>
          <w:tcPr>
            <w:tcW w:type="dxa" w:w="4500"/>
          </w:tcPr>
          <w:p>
            <w:r>
              <w:t xml:space="preserve">Dependientes económicos (hijos)</w:t>
            </w:r>
          </w:p>
        </w:tc>
        <w:tc>
          <w:tcPr>
            <w:tcW w:type="dxa" w:w="4500"/>
          </w:tcPr>
          <w:p>
            <w:r>
              <w:t xml:space="preserve">Cobertura opcional para hasta 3 dependientes, 50% subsidiado; aplica hasta los 25 años si el dependiente estudia de tiempo completo</w:t>
            </w:r>
          </w:p>
        </w:tc>
      </w:tr>
      <w:tr>
        <w:tc>
          <w:tcPr>
            <w:tcW w:type="dxa" w:w="4500"/>
          </w:tcPr>
          <w:p>
            <w:r>
              <w:t xml:space="preserve">Suma asegurada</w:t>
            </w:r>
          </w:p>
        </w:tc>
        <w:tc>
          <w:tcPr>
            <w:tcW w:type="dxa" w:w="4500"/>
          </w:tcPr>
          <w:p>
            <w:r>
              <w:t xml:space="preserve">$4,000,000 MXN por persona, por evento</w:t>
            </w:r>
          </w:p>
        </w:tc>
      </w:tr>
      <w:tr>
        <w:tc>
          <w:tcPr>
            <w:tcW w:type="dxa" w:w="4500"/>
          </w:tcPr>
          <w:p>
            <w:r>
              <w:t xml:space="preserve">Deducible</w:t>
            </w:r>
          </w:p>
        </w:tc>
        <w:tc>
          <w:tcPr>
            <w:tcW w:type="dxa" w:w="4500"/>
          </w:tcPr>
          <w:p>
            <w:r>
              <w:t xml:space="preserve">$15,000 MXN por evento, pagado por el colaborador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Para inscribir a dependientes económicos, el colaborador debe llenar el formato de alta de dependientes en el portal de RRHH dentro de los primeros 30 días de su contratación, o durante el periodo de inscripción anual en noviembre.</w:t>
      </w:r>
    </w:p>
    <w:p>
      <w:pPr>
        <w:pStyle w:val="Heading2"/>
        <w:spacing w:after="120" w:before="240"/>
      </w:pPr>
      <w:r>
        <w:t xml:space="preserve">2. Fondo de ahorro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Aportación del colaborador: 8% del salario base mensual, deducido automáticamente en nómina.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Aportación de TechNova Solutions: 8% adicional (aportación espejo, tope legal establecido).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fondo se puede retirar una vez al año, en el mes de mayo, o al finalizar la relación laboral.</w:t>
      </w:r>
    </w:p>
    <w:p>
      <w:pPr>
        <w:pStyle w:val="Heading2"/>
        <w:spacing w:after="120" w:before="240"/>
      </w:pPr>
      <w:r>
        <w:t xml:space="preserve">3. Capacitación y desarrollo</w:t>
      </w:r>
    </w:p>
    <w:p>
      <w:pPr>
        <w:spacing w:after="160"/>
      </w:pPr>
      <w:r>
        <w:t xml:space="preserve">Cada colaborador cuenta con un presupuesto anual de capacitación de $8,000 MXN, utilizable en cursos, certificaciones o congresos relacionados con su puesto, previa autorización del supervisor directo. Las certificaciones de Microsoft, Scrum y AWS están pre-aprobadas y no requieren autorización adicional.</w:t>
      </w:r>
    </w:p>
    <w:p>
      <w:pPr>
        <w:pStyle w:val="Heading2"/>
        <w:spacing w:after="120" w:before="240"/>
      </w:pPr>
      <w:r>
        <w:t xml:space="preserve">4. Otros beneficios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Beneficio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4500"/>
          </w:tcPr>
          <w:p>
            <w:r>
              <w:t xml:space="preserve">Vales de despensa</w:t>
            </w:r>
          </w:p>
        </w:tc>
        <w:tc>
          <w:tcPr>
            <w:tcW w:type="dxa" w:w="4500"/>
          </w:tcPr>
          <w:p>
            <w:r>
              <w:t xml:space="preserve">10% del salario base mensual, vía tarjeta electrónica</w:t>
            </w:r>
          </w:p>
        </w:tc>
      </w:tr>
      <w:tr>
        <w:tc>
          <w:tcPr>
            <w:tcW w:type="dxa" w:w="4500"/>
          </w:tcPr>
          <w:p>
            <w:r>
              <w:t xml:space="preserve">Seguro de vida</w:t>
            </w:r>
          </w:p>
        </w:tc>
        <w:tc>
          <w:tcPr>
            <w:tcW w:type="dxa" w:w="4500"/>
          </w:tcPr>
          <w:p>
            <w:r>
              <w:t xml:space="preserve">24 meses de sueldo, cobertura automática desde el primer día</w:t>
            </w:r>
          </w:p>
        </w:tc>
      </w:tr>
      <w:tr>
        <w:tc>
          <w:tcPr>
            <w:tcW w:type="dxa" w:w="4500"/>
          </w:tcPr>
          <w:p>
            <w:r>
              <w:t xml:space="preserve">Días de home office</w:t>
            </w:r>
          </w:p>
        </w:tc>
        <w:tc>
          <w:tcPr>
            <w:tcW w:type="dxa" w:w="4500"/>
          </w:tcPr>
          <w:p>
            <w:r>
              <w:t xml:space="preserve">Hasta 2 días por semana, según política del área</w:t>
            </w:r>
          </w:p>
        </w:tc>
      </w:tr>
      <w:tr>
        <w:tc>
          <w:tcPr>
            <w:tcW w:type="dxa" w:w="4500"/>
          </w:tcPr>
          <w:p>
            <w:r>
              <w:t xml:space="preserve">Aniversario laboral</w:t>
            </w:r>
          </w:p>
        </w:tc>
        <w:tc>
          <w:tcPr>
            <w:tcW w:type="dxa" w:w="4500"/>
          </w:tcPr>
          <w:p>
            <w:r>
              <w:t xml:space="preserve">Día libre adicional en el mes de aniversario de ingreso, a partir del 2º año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5. Contacto</w:t>
      </w:r>
    </w:p>
    <w:p>
      <w:pPr>
        <w:spacing w:after="160"/>
      </w:pPr>
      <w:r>
        <w:t xml:space="preserve">Para dudas o trámites relacionados con beneficios, contactar a Recursos Humanos: rrhh@technova.com o extensión 2100.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2026-09-08T16:49:49.125Z</dcterms:created>
  <dcterms:modified xsi:type="dcterms:W3CDTF">2026-09-08T16:49:49.125Z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