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76D9" w14:textId="77777777" w:rsidR="00D5022D" w:rsidRPr="00D5022D" w:rsidRDefault="00D5022D" w:rsidP="00D5022D">
      <w:r w:rsidRPr="00D5022D">
        <w:t>Ejemplo de estructura esperada en el reporte:</w:t>
      </w:r>
    </w:p>
    <w:p w14:paraId="5FD44B48" w14:textId="77777777" w:rsidR="00D5022D" w:rsidRPr="00D5022D" w:rsidRDefault="00D5022D" w:rsidP="00D5022D"/>
    <w:p w14:paraId="6E58EAEF" w14:textId="77777777" w:rsidR="00D5022D" w:rsidRPr="00D5022D" w:rsidRDefault="00D5022D" w:rsidP="00D5022D">
      <w:r w:rsidRPr="00D5022D">
        <w:t>1. Resumen ejecutivo</w:t>
      </w:r>
    </w:p>
    <w:p w14:paraId="6439D499" w14:textId="77777777" w:rsidR="00D5022D" w:rsidRPr="00D5022D" w:rsidRDefault="00D5022D" w:rsidP="00D5022D">
      <w:r w:rsidRPr="00D5022D">
        <w:t>La empresa presenta una utilidad neta positiva, lo que indica un desempeño financiero estable.</w:t>
      </w:r>
    </w:p>
    <w:p w14:paraId="199DE280" w14:textId="77777777" w:rsidR="00D5022D" w:rsidRPr="00D5022D" w:rsidRDefault="00D5022D" w:rsidP="00D5022D">
      <w:r w:rsidRPr="00D5022D">
        <w:t>El margen neto sugiere que la operación es rentable, aunque existen áreas de mejora.</w:t>
      </w:r>
    </w:p>
    <w:p w14:paraId="59071813" w14:textId="77777777" w:rsidR="00D5022D" w:rsidRPr="00D5022D" w:rsidRDefault="00D5022D" w:rsidP="00D5022D"/>
    <w:p w14:paraId="00336700" w14:textId="77777777" w:rsidR="00D5022D" w:rsidRPr="00D5022D" w:rsidRDefault="00D5022D" w:rsidP="00D5022D">
      <w:r w:rsidRPr="00D5022D">
        <w:t>2. Análisis de resultados</w:t>
      </w:r>
    </w:p>
    <w:p w14:paraId="4045258F" w14:textId="394C588A" w:rsidR="00D5022D" w:rsidRPr="00D5022D" w:rsidRDefault="00D5022D" w:rsidP="00D5022D">
      <w:r w:rsidRPr="00D5022D">
        <w:t>Los costos operativos representan una proporción significativa de los ingresos totales,</w:t>
      </w:r>
      <w:r w:rsidR="00F835C1">
        <w:t xml:space="preserve"> </w:t>
      </w:r>
      <w:r w:rsidRPr="00D5022D">
        <w:t>lo que impacta directamente en la utilidad antes de impuestos. Los gastos administrativos</w:t>
      </w:r>
      <w:r w:rsidR="00F835C1">
        <w:t xml:space="preserve"> </w:t>
      </w:r>
      <w:r w:rsidRPr="00D5022D">
        <w:t>y comerciales mantienen un comportamiento controlado, pero deben analizarse a detalle.</w:t>
      </w:r>
    </w:p>
    <w:p w14:paraId="37BEBC89" w14:textId="77777777" w:rsidR="00D5022D" w:rsidRPr="00D5022D" w:rsidRDefault="00D5022D" w:rsidP="00D5022D"/>
    <w:p w14:paraId="2B53A897" w14:textId="77777777" w:rsidR="00D5022D" w:rsidRPr="00D5022D" w:rsidRDefault="00D5022D" w:rsidP="00D5022D">
      <w:r w:rsidRPr="00D5022D">
        <w:t>3. Evaluación de rentabilidad</w:t>
      </w:r>
    </w:p>
    <w:p w14:paraId="43777402" w14:textId="77777777" w:rsidR="00D5022D" w:rsidRPr="00D5022D" w:rsidRDefault="00D5022D" w:rsidP="00D5022D">
      <w:r w:rsidRPr="00D5022D">
        <w:t>El margen de utilidad neta se considera adecuado para el sector. No obstante,</w:t>
      </w:r>
    </w:p>
    <w:p w14:paraId="58AA51AF" w14:textId="77777777" w:rsidR="00D5022D" w:rsidRPr="00D5022D" w:rsidRDefault="00D5022D" w:rsidP="00D5022D">
      <w:r w:rsidRPr="00D5022D">
        <w:t>es sensible a incrementos en costos fijos o reducciones en ingresos.</w:t>
      </w:r>
    </w:p>
    <w:p w14:paraId="190C8210" w14:textId="77777777" w:rsidR="00D5022D" w:rsidRPr="00D5022D" w:rsidRDefault="00D5022D" w:rsidP="00D5022D"/>
    <w:p w14:paraId="0FE67156" w14:textId="77777777" w:rsidR="00D5022D" w:rsidRPr="00D5022D" w:rsidRDefault="00D5022D" w:rsidP="00D5022D">
      <w:r w:rsidRPr="00D5022D">
        <w:t>4. Escenarios y riesgos</w:t>
      </w:r>
    </w:p>
    <w:p w14:paraId="1696BBB3" w14:textId="77777777" w:rsidR="00D5022D" w:rsidRPr="00D5022D" w:rsidRDefault="00D5022D" w:rsidP="00D5022D">
      <w:r w:rsidRPr="00D5022D">
        <w:t>Un incremento moderado en los costos podría reducir considerablemente la utilidad.</w:t>
      </w:r>
    </w:p>
    <w:p w14:paraId="2FAB7222" w14:textId="77777777" w:rsidR="00D5022D" w:rsidRPr="00D5022D" w:rsidRDefault="00D5022D" w:rsidP="00D5022D">
      <w:r w:rsidRPr="00D5022D">
        <w:t>El principal riesgo identificado es la dependencia del control de gastos operativos.</w:t>
      </w:r>
    </w:p>
    <w:p w14:paraId="5F464D5A" w14:textId="77777777" w:rsidR="00D5022D" w:rsidRPr="00D5022D" w:rsidRDefault="00D5022D" w:rsidP="00D5022D"/>
    <w:p w14:paraId="27126F15" w14:textId="77777777" w:rsidR="00D5022D" w:rsidRPr="00D5022D" w:rsidRDefault="00D5022D" w:rsidP="00D5022D">
      <w:r w:rsidRPr="00D5022D">
        <w:t>5. Conclusión</w:t>
      </w:r>
    </w:p>
    <w:p w14:paraId="093C3600" w14:textId="77777777" w:rsidR="00D5022D" w:rsidRPr="00D5022D" w:rsidRDefault="00D5022D" w:rsidP="00D5022D">
      <w:r w:rsidRPr="00D5022D">
        <w:t>El escenario actual es financieramente viable, pero requiere monitoreo constante</w:t>
      </w:r>
    </w:p>
    <w:p w14:paraId="65F04868" w14:textId="77777777" w:rsidR="00D5022D" w:rsidRPr="00D5022D" w:rsidRDefault="00D5022D" w:rsidP="00D5022D">
      <w:r w:rsidRPr="00D5022D">
        <w:t>y ajustes estratégicos para mantener la rentabilidad.</w:t>
      </w:r>
    </w:p>
    <w:p w14:paraId="1263462C" w14:textId="77777777" w:rsidR="0011217D" w:rsidRDefault="0011217D"/>
    <w:sectPr w:rsidR="00112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2D"/>
    <w:rsid w:val="0011217D"/>
    <w:rsid w:val="002A5A7E"/>
    <w:rsid w:val="006141A4"/>
    <w:rsid w:val="00AD6441"/>
    <w:rsid w:val="00D5022D"/>
    <w:rsid w:val="00D96573"/>
    <w:rsid w:val="00F8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FB96"/>
  <w15:chartTrackingRefBased/>
  <w15:docId w15:val="{47D7370A-EC8B-47FF-8D67-4A46EA76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2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2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2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2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2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2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2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America Vicente</dc:creator>
  <cp:keywords/>
  <dc:description/>
  <cp:lastModifiedBy>America Vicente</cp:lastModifiedBy>
  <cp:revision>5</cp:revision>
  <dcterms:created xsi:type="dcterms:W3CDTF">2026-04-15T18:39:00Z</dcterms:created>
  <dcterms:modified xsi:type="dcterms:W3CDTF">2026-04-15T18:41:00Z</dcterms:modified>
</cp:coreProperties>
</file>