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909C7" w14:textId="77777777" w:rsidR="00626E63" w:rsidRPr="006B581C" w:rsidRDefault="00626E63">
      <w:pPr>
        <w:pStyle w:val="Ttulo"/>
        <w:rPr>
          <w:kern w:val="0"/>
          <w:lang w:val="es-MX"/>
        </w:rPr>
      </w:pPr>
      <w:r w:rsidRPr="006B581C">
        <w:rPr>
          <w:lang w:val="es-MX"/>
        </w:rPr>
        <w:t>Reporte Formal de Avances del Proyecto Andrómeda</w:t>
      </w:r>
    </w:p>
    <w:p w14:paraId="5338E30B" w14:textId="4FE2DBD2" w:rsidR="00626E63" w:rsidRPr="006B581C" w:rsidRDefault="00626E63">
      <w:pPr>
        <w:pStyle w:val="Subttulo"/>
        <w:rPr>
          <w:lang w:val="es-MX"/>
        </w:rPr>
      </w:pPr>
      <w:r w:rsidRPr="006B581C">
        <w:rPr>
          <w:lang w:val="es-MX"/>
        </w:rPr>
        <w:t>Banco del Centro S.A.B. de C.V.</w:t>
      </w:r>
    </w:p>
    <w:p w14:paraId="486B0F56" w14:textId="77777777" w:rsidR="00626E63" w:rsidRPr="006B581C" w:rsidRDefault="00626E63" w:rsidP="006B581C">
      <w:pPr>
        <w:pStyle w:val="Ttulo1"/>
        <w:ind w:left="720" w:hanging="720"/>
        <w:rPr>
          <w:rFonts w:eastAsia="Times New Roman"/>
          <w:lang w:val="es-MX"/>
        </w:rPr>
      </w:pPr>
      <w:r w:rsidRPr="006B581C">
        <w:rPr>
          <w:rFonts w:eastAsia="Times New Roman"/>
          <w:lang w:val="es-MX"/>
        </w:rPr>
        <w:t>Introducción</w:t>
      </w:r>
    </w:p>
    <w:p w14:paraId="4E383720" w14:textId="4D17D524" w:rsidR="00626E63" w:rsidRPr="006B581C" w:rsidRDefault="00626E63">
      <w:pPr>
        <w:rPr>
          <w:lang w:val="es-MX"/>
        </w:rPr>
      </w:pPr>
      <w:r w:rsidRPr="006B581C">
        <w:rPr>
          <w:lang w:val="es-MX"/>
        </w:rPr>
        <w:t xml:space="preserve">Banco del Centro S.A.B. de C.V., en su compromiso por impulsar la inclusión financiera y modernizar los servicios bancarios, inició durante el primer trimestre de 2026 un ambicioso proyecto interno denominado </w:t>
      </w:r>
      <w:r w:rsidRPr="006B581C">
        <w:rPr>
          <w:b/>
          <w:bCs/>
          <w:lang w:val="es-MX"/>
        </w:rPr>
        <w:t>Proyecto Andrómeda</w:t>
      </w:r>
      <w:r w:rsidRPr="006B581C">
        <w:rPr>
          <w:lang w:val="es-MX"/>
        </w:rPr>
        <w:t>. Este proyecto tiene como finalidad ampliar significativamente la disponibilidad de efectivo para los usuarios mediante la instalación estratégica de cajeros automáticos en espacios públicos de alta afluencia, priorizando áreas donde la cobertura bancaria tradicional es limitada o inexistente.</w:t>
      </w:r>
    </w:p>
    <w:p w14:paraId="5DA79B25" w14:textId="77777777" w:rsidR="00626E63" w:rsidRPr="006B581C" w:rsidRDefault="00626E63">
      <w:pPr>
        <w:pStyle w:val="Ttulo2"/>
        <w:rPr>
          <w:rFonts w:eastAsia="Times New Roman"/>
          <w:lang w:val="es-MX"/>
        </w:rPr>
      </w:pPr>
      <w:r w:rsidRPr="006B581C">
        <w:rPr>
          <w:rFonts w:eastAsia="Times New Roman"/>
          <w:lang w:val="es-MX"/>
        </w:rPr>
        <w:t>Antecedentes y Motivación</w:t>
      </w:r>
    </w:p>
    <w:p w14:paraId="01F7B017" w14:textId="77777777" w:rsidR="00626E63" w:rsidRPr="006B581C" w:rsidRDefault="00626E63">
      <w:pPr>
        <w:rPr>
          <w:lang w:val="es-MX"/>
        </w:rPr>
      </w:pPr>
      <w:r w:rsidRPr="006B581C">
        <w:rPr>
          <w:lang w:val="es-MX"/>
        </w:rPr>
        <w:t xml:space="preserve">La iniciativa fue propuesta por la </w:t>
      </w:r>
      <w:r w:rsidRPr="006B581C">
        <w:rPr>
          <w:b/>
          <w:bCs/>
          <w:lang w:val="es-MX"/>
        </w:rPr>
        <w:t>Dirección de Canales Alternos</w:t>
      </w:r>
      <w:r w:rsidRPr="006B581C">
        <w:rPr>
          <w:lang w:val="es-MX"/>
        </w:rPr>
        <w:t>, encabezada por Ernesto Salgado Moreno (</w:t>
      </w:r>
      <w:proofErr w:type="gramStart"/>
      <w:r w:rsidRPr="006B581C">
        <w:rPr>
          <w:lang w:val="es-MX"/>
        </w:rPr>
        <w:t>Director</w:t>
      </w:r>
      <w:proofErr w:type="gramEnd"/>
      <w:r w:rsidRPr="006B581C">
        <w:rPr>
          <w:lang w:val="es-MX"/>
        </w:rPr>
        <w:t xml:space="preserve"> de Operaciones) y Fernanda Luján Cortés (</w:t>
      </w:r>
      <w:proofErr w:type="gramStart"/>
      <w:r w:rsidRPr="006B581C">
        <w:rPr>
          <w:lang w:val="es-MX"/>
        </w:rPr>
        <w:t>Subdirectora</w:t>
      </w:r>
      <w:proofErr w:type="gramEnd"/>
      <w:r w:rsidRPr="006B581C">
        <w:rPr>
          <w:lang w:val="es-MX"/>
        </w:rPr>
        <w:t xml:space="preserve"> de Infraestructura). Su aprobación preliminar se realizó en sesión del </w:t>
      </w:r>
      <w:r w:rsidRPr="006B581C">
        <w:rPr>
          <w:b/>
          <w:bCs/>
          <w:lang w:val="es-MX"/>
        </w:rPr>
        <w:t>Comité Operativo</w:t>
      </w:r>
      <w:r w:rsidRPr="006B581C">
        <w:rPr>
          <w:lang w:val="es-MX"/>
        </w:rPr>
        <w:t xml:space="preserve"> el 15 de febrero de 2026, donde se discutieron los retos y beneficios potenciales del proyecto. El objetivo central es facilitar el acceso a servicios financieros a segmentos de la población que, por ubicación o circunstancias, no cuentan con sucursales cercanas, fomentando así la democratización del acceso bancario.</w:t>
      </w:r>
    </w:p>
    <w:p w14:paraId="162B0713" w14:textId="77777777" w:rsidR="00626E63" w:rsidRPr="006B581C" w:rsidRDefault="00626E63">
      <w:pPr>
        <w:pStyle w:val="Ttulo2"/>
        <w:rPr>
          <w:rFonts w:eastAsia="Times New Roman"/>
          <w:lang w:val="es-MX"/>
        </w:rPr>
      </w:pPr>
      <w:r w:rsidRPr="006B581C">
        <w:rPr>
          <w:rFonts w:eastAsia="Times New Roman"/>
          <w:lang w:val="es-MX"/>
        </w:rPr>
        <w:t>Alcance del Proyecto</w:t>
      </w:r>
    </w:p>
    <w:p w14:paraId="0BBB1789" w14:textId="6387578F" w:rsidR="00626E63" w:rsidRPr="006B581C" w:rsidRDefault="00626E63">
      <w:pPr>
        <w:rPr>
          <w:lang w:val="es-MX"/>
        </w:rPr>
      </w:pPr>
      <w:r w:rsidRPr="006B581C">
        <w:rPr>
          <w:lang w:val="es-MX"/>
        </w:rPr>
        <w:t>El Proyecto Andrómeda contempla la instalación de cajeros automáticos en parques urbanos, camellones centrales y zonas abiertas colindantes con avenidas primarias. Se seleccionaron estos espacios por su alta afluencia peatonal y por la oportunidad de acercar servicios financieros a personas que habitualmente transitan o residen en dichas zonas. Además, el proyecto busca posicionar a Banco del Centro como pionero en la banca móvil y de proximidad, diferenciándose de sus competidores y generando valor social.</w:t>
      </w:r>
    </w:p>
    <w:p w14:paraId="23828CA8" w14:textId="77777777" w:rsidR="00626E63" w:rsidRPr="006B581C" w:rsidRDefault="00626E63">
      <w:pPr>
        <w:pStyle w:val="Ttulo2"/>
        <w:rPr>
          <w:rFonts w:eastAsia="Times New Roman"/>
          <w:lang w:val="es-MX"/>
        </w:rPr>
      </w:pPr>
      <w:r w:rsidRPr="006B581C">
        <w:rPr>
          <w:rFonts w:eastAsia="Times New Roman"/>
          <w:lang w:val="es-MX"/>
        </w:rPr>
        <w:t>Ubicaciones Piloto y Coordinación Operativa</w:t>
      </w:r>
    </w:p>
    <w:p w14:paraId="625AD11C" w14:textId="77777777" w:rsidR="00626E63" w:rsidRPr="006B581C" w:rsidRDefault="00626E63">
      <w:pPr>
        <w:rPr>
          <w:lang w:val="es-MX"/>
        </w:rPr>
      </w:pPr>
      <w:r w:rsidRPr="006B581C">
        <w:rPr>
          <w:lang w:val="es-MX"/>
        </w:rPr>
        <w:t>Durante la fase piloto, se identificaron y evaluaron ubicaciones estratégicas, entre las que destacan:</w:t>
      </w:r>
    </w:p>
    <w:p w14:paraId="51151555" w14:textId="77777777" w:rsidR="00626E63" w:rsidRPr="006B581C" w:rsidRDefault="00626E63" w:rsidP="00626E63">
      <w:pPr>
        <w:numPr>
          <w:ilvl w:val="0"/>
          <w:numId w:val="20"/>
        </w:numPr>
        <w:rPr>
          <w:rFonts w:eastAsia="Times New Roman"/>
          <w:lang w:val="es-MX"/>
        </w:rPr>
      </w:pPr>
      <w:r w:rsidRPr="006B581C">
        <w:rPr>
          <w:rFonts w:eastAsia="Times New Roman"/>
          <w:lang w:val="es-MX"/>
        </w:rPr>
        <w:t>Parque Lineal de Avenida Río Churubusco</w:t>
      </w:r>
    </w:p>
    <w:p w14:paraId="30E048E1" w14:textId="77777777" w:rsidR="00626E63" w:rsidRPr="006B581C" w:rsidRDefault="00626E63" w:rsidP="00626E63">
      <w:pPr>
        <w:numPr>
          <w:ilvl w:val="0"/>
          <w:numId w:val="20"/>
        </w:numPr>
        <w:rPr>
          <w:rFonts w:eastAsia="Times New Roman"/>
          <w:lang w:val="es-MX"/>
        </w:rPr>
      </w:pPr>
      <w:r w:rsidRPr="006B581C">
        <w:rPr>
          <w:rFonts w:eastAsia="Times New Roman"/>
          <w:lang w:val="es-MX"/>
        </w:rPr>
        <w:t>Camellón central de Avenida Insurgentes Sur (altura número 2450)</w:t>
      </w:r>
    </w:p>
    <w:p w14:paraId="2758A1E7" w14:textId="77777777" w:rsidR="00626E63" w:rsidRPr="006B581C" w:rsidRDefault="00626E63" w:rsidP="00626E63">
      <w:pPr>
        <w:numPr>
          <w:ilvl w:val="0"/>
          <w:numId w:val="20"/>
        </w:numPr>
        <w:rPr>
          <w:rFonts w:eastAsia="Times New Roman"/>
          <w:lang w:val="es-MX"/>
        </w:rPr>
      </w:pPr>
      <w:r w:rsidRPr="006B581C">
        <w:rPr>
          <w:rFonts w:eastAsia="Times New Roman"/>
          <w:lang w:val="es-MX"/>
        </w:rPr>
        <w:t>Área verde frente al Deportivo Morelos, colonia Santa María</w:t>
      </w:r>
    </w:p>
    <w:p w14:paraId="0E47DD4F" w14:textId="3C2BF3BD" w:rsidR="00626E63" w:rsidRPr="006B581C" w:rsidRDefault="00626E63">
      <w:pPr>
        <w:rPr>
          <w:lang w:val="es-MX"/>
        </w:rPr>
      </w:pPr>
      <w:r w:rsidRPr="006B581C">
        <w:rPr>
          <w:lang w:val="es-MX"/>
        </w:rPr>
        <w:lastRenderedPageBreak/>
        <w:t xml:space="preserve">La coordinación de campo quedó bajo la responsabilidad de Ricardo Alvarado Núñez, gerente del proyecto, quien reporta directamente a la oficina central en Calle Reforma Financiera 180, Piso 7, Ciudad de México. Ricardo lidera la gestión diaria con proveedores, autoridades locales y equipos internos, utilizando canales operativos como el correo </w:t>
      </w:r>
      <w:r w:rsidRPr="006B581C">
        <w:rPr>
          <w:i/>
          <w:iCs/>
          <w:lang w:val="es-MX"/>
        </w:rPr>
        <w:t>r.alvarado@bancocentro.mx</w:t>
      </w:r>
      <w:r w:rsidRPr="006B581C">
        <w:rPr>
          <w:lang w:val="es-MX"/>
        </w:rPr>
        <w:t xml:space="preserve"> y la línea directa </w:t>
      </w:r>
      <w:r w:rsidRPr="006B581C">
        <w:rPr>
          <w:b/>
          <w:bCs/>
          <w:lang w:val="es-MX"/>
        </w:rPr>
        <w:t>55 4832 9104</w:t>
      </w:r>
      <w:r w:rsidRPr="006B581C">
        <w:rPr>
          <w:lang w:val="es-MX"/>
        </w:rPr>
        <w:t>, lo que ha permitido una comunicación ágil y efectiva.</w:t>
      </w:r>
    </w:p>
    <w:p w14:paraId="7601D0A0" w14:textId="77777777" w:rsidR="00626E63" w:rsidRPr="006B581C" w:rsidRDefault="00626E63">
      <w:pPr>
        <w:pStyle w:val="Ttulo2"/>
        <w:rPr>
          <w:rFonts w:eastAsia="Times New Roman"/>
          <w:lang w:val="es-MX"/>
        </w:rPr>
      </w:pPr>
      <w:r w:rsidRPr="006B581C">
        <w:rPr>
          <w:rFonts w:eastAsia="Times New Roman"/>
          <w:lang w:val="es-MX"/>
        </w:rPr>
        <w:t>Retos Logísticos y de Seguridad</w:t>
      </w:r>
    </w:p>
    <w:p w14:paraId="3EAD7B6B" w14:textId="22C40062" w:rsidR="00626E63" w:rsidRPr="006B581C" w:rsidRDefault="00626E63">
      <w:pPr>
        <w:rPr>
          <w:lang w:val="es-MX"/>
        </w:rPr>
      </w:pPr>
      <w:r w:rsidRPr="006B581C">
        <w:rPr>
          <w:lang w:val="es-MX"/>
        </w:rPr>
        <w:t xml:space="preserve">Los reportes internos iniciales identificaron diversos retos, entre ellos la provisión de energía eléctrica, la exposición al vandalismo y la dificultad de garantizar vigilancia continua en espacios abiertos. En algunos puntos, la infraestructura existente era insuficiente para soportar equipos de seguridad adicionales, lo que implicó la necesidad de reforzar anclajes, instalar cámaras de vigilancia y buscar convenios con policías auxiliares. Laura Benítez Rojas, representante del área de Seguridad Patrimonial, envió recomendaciones detalladas el 8 de marzo a </w:t>
      </w:r>
      <w:r w:rsidRPr="006B581C">
        <w:rPr>
          <w:i/>
          <w:iCs/>
          <w:lang w:val="es-MX"/>
        </w:rPr>
        <w:t>cumplimiento@bancocentro.mx</w:t>
      </w:r>
      <w:r w:rsidRPr="006B581C">
        <w:rPr>
          <w:lang w:val="es-MX"/>
        </w:rPr>
        <w:t>, subrayando la importancia de implementar medidas preventivas robustas. Hasta la fecha, no se ha recibido una respuesta formal, lo que resalta la necesidad de fortalecer los canales de retroalimentación interna.</w:t>
      </w:r>
    </w:p>
    <w:p w14:paraId="206483ED" w14:textId="77777777" w:rsidR="00626E63" w:rsidRPr="006B581C" w:rsidRDefault="00626E63">
      <w:pPr>
        <w:pStyle w:val="Ttulo2"/>
        <w:rPr>
          <w:rFonts w:eastAsia="Times New Roman"/>
          <w:lang w:val="es-MX"/>
        </w:rPr>
      </w:pPr>
      <w:r w:rsidRPr="006B581C">
        <w:rPr>
          <w:rFonts w:eastAsia="Times New Roman"/>
          <w:lang w:val="es-MX"/>
        </w:rPr>
        <w:t>Aspectos Legales y Normativos</w:t>
      </w:r>
    </w:p>
    <w:p w14:paraId="4B25DC96" w14:textId="77777777" w:rsidR="00626E63" w:rsidRPr="006B581C" w:rsidRDefault="00626E63">
      <w:pPr>
        <w:rPr>
          <w:lang w:val="es-MX"/>
        </w:rPr>
      </w:pPr>
      <w:r w:rsidRPr="006B581C">
        <w:rPr>
          <w:lang w:val="es-MX"/>
        </w:rPr>
        <w:t>El área Jurídica, encabezada por Octavio Mena Salinas, solicitó información adicional sobre permisos municipales y uso de suelo, ya que algunas ubicaciones seleccionadas se encuentran en áreas catalogadas como recreativas. Los intercambios con autoridades locales han sido informales y a través de enlaces operativos, lo que ha dificultado la integración de un repositorio centralizado de autorizaciones. Esta situación fue abordada en la reunión interna del 22 de marzo de 2026, donde participaron representantes de Operaciones, Legal y Cumplimiento, incluyendo a Mariana Torres Aguilar, analista senior de cumplimiento normativo. La ausencia de evidencia documental completa fue señalada como un riesgo operativo y normativo, por lo que se recomendó establecer procesos formales de gestión y registro de permisos.</w:t>
      </w:r>
    </w:p>
    <w:p w14:paraId="068C36E5" w14:textId="77777777" w:rsidR="00626E63" w:rsidRPr="006B581C" w:rsidRDefault="00626E63">
      <w:pPr>
        <w:pStyle w:val="Ttulo2"/>
        <w:rPr>
          <w:rFonts w:eastAsia="Times New Roman"/>
          <w:lang w:val="es-MX"/>
        </w:rPr>
      </w:pPr>
      <w:r w:rsidRPr="006B581C">
        <w:rPr>
          <w:rFonts w:eastAsia="Times New Roman"/>
          <w:lang w:val="es-MX"/>
        </w:rPr>
        <w:t>Percepción Pública y Experiencia del Usuario</w:t>
      </w:r>
    </w:p>
    <w:p w14:paraId="4C229ED8" w14:textId="33D0ABF6" w:rsidR="00626E63" w:rsidRPr="006B581C" w:rsidRDefault="00626E63">
      <w:pPr>
        <w:rPr>
          <w:lang w:val="es-MX"/>
        </w:rPr>
      </w:pPr>
      <w:r w:rsidRPr="006B581C">
        <w:rPr>
          <w:lang w:val="es-MX"/>
        </w:rPr>
        <w:t xml:space="preserve">Uno de los aspectos más relevantes en la fase piloto ha sido la percepción pública del proyecto. En un memorando interno elaborado por el área de Experiencia del Cliente, fechado el 30 de marzo, se identificaron inquietudes respecto a la ubicación de cajeros en zonas de tránsito peatonal elevado. Algunos usuarios podrían interpretar la presencia de estos dispositivos como un riesgo potencial para la seguridad personal o para el entorno urbano. Dicho memorando fue remitido a la Gerencia General mediante el correo </w:t>
      </w:r>
      <w:r w:rsidRPr="006B581C">
        <w:rPr>
          <w:i/>
          <w:iCs/>
          <w:lang w:val="es-MX"/>
        </w:rPr>
        <w:t>experiencia@bancocentro.mx</w:t>
      </w:r>
      <w:r w:rsidRPr="006B581C">
        <w:rPr>
          <w:lang w:val="es-MX"/>
        </w:rPr>
        <w:t>. Hasta el momento, no existe una evaluación integral de impacto social, lo que representa una oportunidad de mejora para futuras fases del proyecto.</w:t>
      </w:r>
    </w:p>
    <w:p w14:paraId="6734B263" w14:textId="77777777" w:rsidR="00626E63" w:rsidRPr="006B581C" w:rsidRDefault="00626E63">
      <w:pPr>
        <w:pStyle w:val="Ttulo2"/>
        <w:rPr>
          <w:rFonts w:eastAsia="Times New Roman"/>
          <w:lang w:val="es-MX"/>
        </w:rPr>
      </w:pPr>
      <w:r w:rsidRPr="006B581C">
        <w:rPr>
          <w:rFonts w:eastAsia="Times New Roman"/>
          <w:lang w:val="es-MX"/>
        </w:rPr>
        <w:lastRenderedPageBreak/>
        <w:t>Gestión Financiera y Presupuesto</w:t>
      </w:r>
    </w:p>
    <w:p w14:paraId="6BAC6BB6" w14:textId="77777777" w:rsidR="00626E63" w:rsidRPr="006B581C" w:rsidRDefault="00626E63">
      <w:pPr>
        <w:rPr>
          <w:lang w:val="es-MX"/>
        </w:rPr>
      </w:pPr>
      <w:r w:rsidRPr="006B581C">
        <w:rPr>
          <w:lang w:val="es-MX"/>
        </w:rPr>
        <w:t xml:space="preserve">El presupuesto asignado para la fase piloto asciende a </w:t>
      </w:r>
      <w:r w:rsidRPr="006B581C">
        <w:rPr>
          <w:b/>
          <w:bCs/>
          <w:lang w:val="es-MX"/>
        </w:rPr>
        <w:t>$18,000,000 MXN</w:t>
      </w:r>
      <w:r w:rsidRPr="006B581C">
        <w:rPr>
          <w:lang w:val="es-MX"/>
        </w:rPr>
        <w:t>, cubriendo la adquisición de equipos, obra civil y servicios de monitoreo. La dispersión presupuestal se gestiona desde la Tesorería Corporativa, bajo la supervisión de Julián Herrera Prado. Los registros financieros asociados al proyecto están almacenados en sistemas internos restringidos, accesibles únicamente para personal autorizado. Este reporte no incluye revisión detallada ni validación independiente de dichos registros, por lo que se recomienda en futuras etapas incorporar auditorías externas para garantizar la transparencia y correcta aplicación de los recursos.</w:t>
      </w:r>
    </w:p>
    <w:p w14:paraId="50AD0699" w14:textId="77777777" w:rsidR="00626E63" w:rsidRPr="006B581C" w:rsidRDefault="00626E63">
      <w:pPr>
        <w:pStyle w:val="Ttulo2"/>
        <w:rPr>
          <w:rFonts w:eastAsia="Times New Roman"/>
          <w:lang w:val="es-MX"/>
        </w:rPr>
      </w:pPr>
      <w:r w:rsidRPr="006B581C">
        <w:rPr>
          <w:rFonts w:eastAsia="Times New Roman"/>
          <w:lang w:val="es-MX"/>
        </w:rPr>
        <w:t>Conclusiones y Recomendaciones</w:t>
      </w:r>
    </w:p>
    <w:p w14:paraId="18E30190" w14:textId="77777777" w:rsidR="00626E63" w:rsidRPr="006B581C" w:rsidRDefault="00626E63">
      <w:pPr>
        <w:rPr>
          <w:lang w:val="es-MX"/>
        </w:rPr>
      </w:pPr>
      <w:r w:rsidRPr="006B581C">
        <w:rPr>
          <w:lang w:val="es-MX"/>
        </w:rPr>
        <w:t>El Proyecto Andrómeda se encuentra en una etapa temprana de ejecución, con avances operativos visibles y procesos de control y documentación en desarrollo. La información disponible refleja una visión orientada a la expansión del acceso financiero, pero también evidencia desafíos inherentes a la instalación de infraestructura bancaria en espacios públicos no tradicionales. Para asegurar el éxito y la sostenibilidad del proyecto, se recomienda:</w:t>
      </w:r>
    </w:p>
    <w:p w14:paraId="57BFACF4" w14:textId="77777777" w:rsidR="00626E63" w:rsidRPr="006B581C" w:rsidRDefault="00626E63" w:rsidP="00626E63">
      <w:pPr>
        <w:numPr>
          <w:ilvl w:val="0"/>
          <w:numId w:val="21"/>
        </w:numPr>
        <w:rPr>
          <w:rFonts w:eastAsia="Times New Roman"/>
          <w:lang w:val="es-MX"/>
        </w:rPr>
      </w:pPr>
      <w:r w:rsidRPr="006B581C">
        <w:rPr>
          <w:rFonts w:eastAsia="Times New Roman"/>
          <w:lang w:val="es-MX"/>
        </w:rPr>
        <w:t>Consolidar registros y documentación de permisos y autorizaciones.</w:t>
      </w:r>
    </w:p>
    <w:p w14:paraId="6F5AFCF5" w14:textId="77777777" w:rsidR="00626E63" w:rsidRPr="006B581C" w:rsidRDefault="00626E63" w:rsidP="00626E63">
      <w:pPr>
        <w:numPr>
          <w:ilvl w:val="0"/>
          <w:numId w:val="21"/>
        </w:numPr>
        <w:rPr>
          <w:rFonts w:eastAsia="Times New Roman"/>
          <w:lang w:val="es-MX"/>
        </w:rPr>
      </w:pPr>
      <w:r w:rsidRPr="006B581C">
        <w:rPr>
          <w:rFonts w:eastAsia="Times New Roman"/>
          <w:lang w:val="es-MX"/>
        </w:rPr>
        <w:t>Formalizar procesos internos de gestión y comunicación entre áreas involucradas.</w:t>
      </w:r>
    </w:p>
    <w:p w14:paraId="10A72790" w14:textId="77777777" w:rsidR="00626E63" w:rsidRPr="006B581C" w:rsidRDefault="00626E63" w:rsidP="00626E63">
      <w:pPr>
        <w:numPr>
          <w:ilvl w:val="0"/>
          <w:numId w:val="21"/>
        </w:numPr>
        <w:rPr>
          <w:rFonts w:eastAsia="Times New Roman"/>
          <w:lang w:val="es-MX"/>
        </w:rPr>
      </w:pPr>
      <w:r w:rsidRPr="006B581C">
        <w:rPr>
          <w:rFonts w:eastAsia="Times New Roman"/>
          <w:lang w:val="es-MX"/>
        </w:rPr>
        <w:t>Definir claramente las responsabilidades de los equipos operativos, legales y de cumplimiento.</w:t>
      </w:r>
    </w:p>
    <w:p w14:paraId="77A569CB" w14:textId="77777777" w:rsidR="00626E63" w:rsidRPr="006B581C" w:rsidRDefault="00626E63" w:rsidP="00626E63">
      <w:pPr>
        <w:numPr>
          <w:ilvl w:val="0"/>
          <w:numId w:val="21"/>
        </w:numPr>
        <w:rPr>
          <w:rFonts w:eastAsia="Times New Roman"/>
          <w:lang w:val="es-MX"/>
        </w:rPr>
      </w:pPr>
      <w:r w:rsidRPr="006B581C">
        <w:rPr>
          <w:rFonts w:eastAsia="Times New Roman"/>
          <w:lang w:val="es-MX"/>
        </w:rPr>
        <w:t>Implementar una evaluación integral de impacto social y percepción pública.</w:t>
      </w:r>
    </w:p>
    <w:p w14:paraId="1FD89093" w14:textId="77777777" w:rsidR="00626E63" w:rsidRPr="006B581C" w:rsidRDefault="00626E63" w:rsidP="00626E63">
      <w:pPr>
        <w:numPr>
          <w:ilvl w:val="0"/>
          <w:numId w:val="21"/>
        </w:numPr>
        <w:rPr>
          <w:rFonts w:eastAsia="Times New Roman"/>
          <w:lang w:val="es-MX"/>
        </w:rPr>
      </w:pPr>
      <w:r w:rsidRPr="006B581C">
        <w:rPr>
          <w:rFonts w:eastAsia="Times New Roman"/>
          <w:lang w:val="es-MX"/>
        </w:rPr>
        <w:t>Considerar auditorías externas para validar la correcta aplicación del presupuesto.</w:t>
      </w:r>
    </w:p>
    <w:p w14:paraId="522F2CBF" w14:textId="77777777" w:rsidR="00626E63" w:rsidRPr="006B581C" w:rsidRDefault="00626E63">
      <w:pPr>
        <w:rPr>
          <w:lang w:val="es-MX"/>
        </w:rPr>
      </w:pPr>
      <w:r w:rsidRPr="006B581C">
        <w:rPr>
          <w:lang w:val="es-MX"/>
        </w:rPr>
        <w:t>El seguimiento posterior deberá contemplar estos aspectos antes de una eventual expansión del modelo a otras ciudades. Este reporte se limita a la información recopilada hasta la fecha y no constituye una evaluación definitiva del proyecto; sin embargo, proporciona una base sólida para la toma de decisiones y el desarrollo de futuras etapas.</w:t>
      </w:r>
    </w:p>
    <w:sectPr w:rsidR="00626E63" w:rsidRPr="006B58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15B2819"/>
    <w:multiLevelType w:val="multilevel"/>
    <w:tmpl w:val="1632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4E6D45"/>
    <w:multiLevelType w:val="multilevel"/>
    <w:tmpl w:val="8BD0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B81358"/>
    <w:multiLevelType w:val="multilevel"/>
    <w:tmpl w:val="B8DE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6474BC"/>
    <w:multiLevelType w:val="multilevel"/>
    <w:tmpl w:val="34C8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CE4675"/>
    <w:multiLevelType w:val="multilevel"/>
    <w:tmpl w:val="77E8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64041"/>
    <w:multiLevelType w:val="multilevel"/>
    <w:tmpl w:val="9B1C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FF1421"/>
    <w:multiLevelType w:val="multilevel"/>
    <w:tmpl w:val="B84E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695935"/>
    <w:multiLevelType w:val="multilevel"/>
    <w:tmpl w:val="FB36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4938F0"/>
    <w:multiLevelType w:val="multilevel"/>
    <w:tmpl w:val="1D1E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30249B"/>
    <w:multiLevelType w:val="multilevel"/>
    <w:tmpl w:val="3398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757C19"/>
    <w:multiLevelType w:val="multilevel"/>
    <w:tmpl w:val="2DBC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DD33A0"/>
    <w:multiLevelType w:val="multilevel"/>
    <w:tmpl w:val="5F3C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348111">
    <w:abstractNumId w:val="8"/>
  </w:num>
  <w:num w:numId="2" w16cid:durableId="899093135">
    <w:abstractNumId w:val="6"/>
  </w:num>
  <w:num w:numId="3" w16cid:durableId="1247764692">
    <w:abstractNumId w:val="5"/>
  </w:num>
  <w:num w:numId="4" w16cid:durableId="1627588015">
    <w:abstractNumId w:val="4"/>
  </w:num>
  <w:num w:numId="5" w16cid:durableId="763648352">
    <w:abstractNumId w:val="7"/>
  </w:num>
  <w:num w:numId="6" w16cid:durableId="1291091239">
    <w:abstractNumId w:val="3"/>
  </w:num>
  <w:num w:numId="7" w16cid:durableId="701051099">
    <w:abstractNumId w:val="2"/>
  </w:num>
  <w:num w:numId="8" w16cid:durableId="1179658297">
    <w:abstractNumId w:val="1"/>
  </w:num>
  <w:num w:numId="9" w16cid:durableId="2011830723">
    <w:abstractNumId w:val="0"/>
  </w:num>
  <w:num w:numId="10" w16cid:durableId="525287875">
    <w:abstractNumId w:val="15"/>
  </w:num>
  <w:num w:numId="11" w16cid:durableId="98844312">
    <w:abstractNumId w:val="20"/>
  </w:num>
  <w:num w:numId="12" w16cid:durableId="1877699571">
    <w:abstractNumId w:val="11"/>
  </w:num>
  <w:num w:numId="13" w16cid:durableId="1940020165">
    <w:abstractNumId w:val="12"/>
  </w:num>
  <w:num w:numId="14" w16cid:durableId="1108621443">
    <w:abstractNumId w:val="14"/>
  </w:num>
  <w:num w:numId="15" w16cid:durableId="2124954443">
    <w:abstractNumId w:val="19"/>
  </w:num>
  <w:num w:numId="16" w16cid:durableId="2096002837">
    <w:abstractNumId w:val="13"/>
  </w:num>
  <w:num w:numId="17" w16cid:durableId="1213881791">
    <w:abstractNumId w:val="10"/>
  </w:num>
  <w:num w:numId="18" w16cid:durableId="1797144360">
    <w:abstractNumId w:val="17"/>
  </w:num>
  <w:num w:numId="19" w16cid:durableId="84573377">
    <w:abstractNumId w:val="16"/>
  </w:num>
  <w:num w:numId="20" w16cid:durableId="1486506749">
    <w:abstractNumId w:val="18"/>
  </w:num>
  <w:num w:numId="21" w16cid:durableId="20819035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328"/>
    <w:rsid w:val="0006063C"/>
    <w:rsid w:val="0015074B"/>
    <w:rsid w:val="00201480"/>
    <w:rsid w:val="0029639D"/>
    <w:rsid w:val="002C6DC4"/>
    <w:rsid w:val="00326F90"/>
    <w:rsid w:val="00626E63"/>
    <w:rsid w:val="0064154E"/>
    <w:rsid w:val="006B581C"/>
    <w:rsid w:val="00A730D2"/>
    <w:rsid w:val="00AA1D8D"/>
    <w:rsid w:val="00B225F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0C82275-1FCD-49FE-9184-D1552B303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3</Pages>
  <Words>1054</Words>
  <Characters>5800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America Vicente</cp:lastModifiedBy>
  <cp:revision>7</cp:revision>
  <dcterms:created xsi:type="dcterms:W3CDTF">2013-12-23T23:15:00Z</dcterms:created>
  <dcterms:modified xsi:type="dcterms:W3CDTF">2026-04-21T19:08:00Z</dcterms:modified>
  <cp:category/>
</cp:coreProperties>
</file>