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Hilo de correo — Comité de Inversiones</w:t>
      </w:r>
    </w:p>
    <w:p>
      <w:pPr>
        <w:spacing w:after="60"/>
      </w:pPr>
      <w:r>
        <w:rPr>
          <w:b/>
          <w:color w:val="404040"/>
          <w:sz w:val="24"/>
        </w:rPr>
        <w:t>Comité de inversión | Revisión del portafolio y próximos pasos</w:t>
      </w:r>
    </w:p>
    <w:p>
      <w:pPr>
        <w:spacing w:after="280"/>
      </w:pPr>
      <w:r>
        <w:rPr>
          <w:color w:val="667080"/>
          <w:sz w:val="18"/>
        </w:rPr>
        <w:t>Clasificación: Uso interno  |  Fecha: 5 de octubre de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vAlign w:val="center"/>
            <w:shd w:fill="EAF0F6"/>
          </w:tcPr>
          <w:p>
            <w:pPr>
              <w:spacing w:after="0" w:before="0"/>
            </w:pPr>
            <w:r>
              <w:rPr>
                <w:b/>
                <w:sz w:val="19"/>
              </w:rPr>
              <w:t>Propósito</w:t>
            </w:r>
          </w:p>
        </w:tc>
        <w:tc>
          <w:tcPr>
            <w:tcW w:type="dxa" w:w="8208"/>
            <w:vAlign w:val="center"/>
            <w:shd w:fill="F8FAFC"/>
          </w:tcPr>
          <w:p>
            <w:pPr>
              <w:spacing w:after="0" w:before="0"/>
            </w:pPr>
            <w:r>
              <w:rPr>
                <w:b w:val="0"/>
                <w:sz w:val="19"/>
              </w:rPr>
              <w:t>Seguimiento de hallazgos del portafolio, validación de riesgos y definición de próximos pasos para la siguiente revisión interna.</w:t>
            </w:r>
          </w:p>
        </w:tc>
      </w:tr>
      <w:tr>
        <w:tc>
          <w:tcPr>
            <w:tcW w:type="dxa" w:w="2232"/>
            <w:vAlign w:val="center"/>
            <w:shd w:fill="EAF0F6"/>
          </w:tcPr>
          <w:p>
            <w:pPr>
              <w:spacing w:after="0" w:before="0"/>
            </w:pPr>
            <w:r>
              <w:rPr>
                <w:b/>
                <w:sz w:val="19"/>
              </w:rPr>
              <w:t>Documentos</w:t>
            </w:r>
          </w:p>
        </w:tc>
        <w:tc>
          <w:tcPr>
            <w:tcW w:type="dxa" w:w="8208"/>
            <w:vAlign w:val="center"/>
            <w:shd w:fill="F8FAFC"/>
          </w:tcPr>
          <w:p>
            <w:pPr>
              <w:spacing w:after="0" w:before="0"/>
            </w:pPr>
            <w:r>
              <w:rPr>
                <w:b w:val="0"/>
                <w:sz w:val="19"/>
              </w:rPr>
              <w:t>Libro de portafolio, memo ejecutivo y presentación de comité.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Andrea Torres — 08:42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9000"/>
      </w:tblGrid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De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Andrea Torres &lt;andrea.torres@inversiones.corp&gt;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Para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Mateo Ruiz &lt;mateo.ruiz@inversiones.corp&gt;, Laura Méndez &lt;laura.mendez@inversiones.corp&gt;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Daniel Rojas &lt;daniel.rojas@inversiones.corp&gt;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lunes, 5 de octubre de 2026, 08:42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Asunto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Comité de inversión | Revisión del portafolio y próximos pasos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t>Equipo,</w:t>
      </w:r>
    </w:p>
    <w:p>
      <w:pPr>
        <w:spacing w:after="140" w:line="259" w:lineRule="auto"/>
      </w:pPr>
      <w:r>
        <w:t>Después de la revisión del memo y del deck, necesito que el seguimiento del comité se apoye únicamente en hallazgos que podamos rastrear al libro del portafolio.</w:t>
      </w:r>
    </w:p>
    <w:p>
      <w:pPr>
        <w:spacing w:after="140" w:line="259" w:lineRule="auto"/>
      </w:pPr>
      <w:r>
        <w:t>Los puntos que requieren confirmación para la siguiente revisión son:</w:t>
      </w:r>
    </w:p>
    <w:p>
      <w:pPr>
        <w:pStyle w:val="ListBullet"/>
        <w:spacing w:after="60"/>
        <w:ind w:left="317" w:hanging="173"/>
      </w:pPr>
      <w:r>
        <w:t>La exposición agregada a Tecnología pasó de 43,0 % en julio a 52,0 % en octubre.</w:t>
      </w:r>
    </w:p>
    <w:p>
      <w:pPr>
        <w:pStyle w:val="ListBullet"/>
        <w:spacing w:after="60"/>
        <w:ind w:left="317" w:hanging="173"/>
      </w:pPr>
      <w:r>
        <w:t>El Fondo Infraestructura Energética mantiene rendimiento negativo: -6,1 % en septiembre y -4,8 % en octubre.</w:t>
      </w:r>
    </w:p>
    <w:p>
      <w:pPr>
        <w:pStyle w:val="ListBullet"/>
        <w:spacing w:after="60"/>
        <w:ind w:left="317" w:hanging="173"/>
      </w:pPr>
      <w:r>
        <w:t>Antes de hablar de rebalanceo necesitamos confirmar el límite interno aplicable a concentración sectorial.</w:t>
      </w:r>
    </w:p>
    <w:p>
      <w:pPr>
        <w:spacing w:after="140" w:line="259" w:lineRule="auto"/>
      </w:pPr>
      <w:r>
        <w:t>Por favor separen con claridad hechos, interpretación y pendientes. No considero aprobada ninguna decisión de inversión mientras falte esa validación.</w:t>
      </w:r>
    </w:p>
    <w:p>
      <w:pPr>
        <w:spacing w:before="200" w:after="40"/>
      </w:pPr>
      <w:r>
        <w:rPr>
          <w:b/>
          <w:color w:val="17365D"/>
        </w:rPr>
        <w:t>Andrea Torres</w:t>
      </w:r>
      <w:r>
        <w:br/>
        <w:t>Directora de Inversiones</w:t>
        <w:br/>
        <w:t>Comité de Inversiones</w:t>
      </w:r>
    </w:p>
    <w:p>
      <w:pPr>
        <w:spacing w:before="160" w:after="200"/>
        <w:pBdr>
          <w:bottom w:val="single" w:sz="6" w:space="1" w:color="D0D7DE"/>
        </w:pBdr>
      </w:pPr>
    </w:p>
    <w:p>
      <w:pPr>
        <w:pStyle w:val="Heading1"/>
        <w:keepNext/>
        <w:pageBreakBefore/>
      </w:pPr>
      <w:r>
        <w:t>Mateo Ruiz — 09:18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9000"/>
      </w:tblGrid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De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Mateo Ruiz &lt;mateo.ruiz@inversiones.corp&gt;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Para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Andrea Torres &lt;andrea.torres@inversiones.corp&gt;, Laura Méndez &lt;laura.mendez@inversiones.corp&gt;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Daniel Rojas &lt;daniel.rojas@inversiones.corp&gt;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lunes, 5 de octubre de 2026, 09:18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Asunto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RE: Comité de inversión | Revisión del portafolio y próximos pasos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t>Andrea,</w:t>
      </w:r>
    </w:p>
    <w:p>
      <w:pPr>
        <w:spacing w:after="140" w:line="259" w:lineRule="auto"/>
      </w:pPr>
      <w:r>
        <w:t>Validé los dos puntos contra la tabla de Portafolio:</w:t>
      </w:r>
    </w:p>
    <w:p>
      <w:pPr>
        <w:pStyle w:val="ListBullet"/>
        <w:spacing w:after="60"/>
        <w:ind w:left="317" w:hanging="173"/>
      </w:pPr>
      <w:r>
        <w:t>Tecnología: 25,0 % + 18,0 % = 43,0 % en julio; 31,0 % + 21,0 % = 52,0 % en octubre. El aumento es de 9 puntos porcentuales.</w:t>
      </w:r>
    </w:p>
    <w:p>
      <w:pPr>
        <w:pStyle w:val="ListBullet"/>
        <w:spacing w:after="60"/>
        <w:ind w:left="317" w:hanging="173"/>
      </w:pPr>
      <w:r>
        <w:t>Fondo Infraestructura Energética: rendimiento de -6,1 % en septiembre y -4,8 % en octubre. El dato mejora frente a septiembre, pero continúa en terreno negativo.</w:t>
      </w:r>
    </w:p>
    <w:p>
      <w:pPr>
        <w:pStyle w:val="ListBullet"/>
        <w:spacing w:after="60"/>
        <w:ind w:left="317" w:hanging="173"/>
      </w:pPr>
      <w:r>
        <w:t>Bono Soberano 2031 mantiene nivel de riesgo Bajo y rendimiento positivo de 0,5 % en octubre.</w:t>
      </w:r>
    </w:p>
    <w:p>
      <w:pPr>
        <w:spacing w:after="140" w:line="259" w:lineRule="auto"/>
      </w:pPr>
      <w:r>
        <w:t>Prepararé un cuadro de sensibilidad para revisar el efecto de reducir exposición a Tecnología sin convertirlo todavía en recomendación. Puedo tenerlo listo el jueves 8 de octubre.</w:t>
      </w:r>
    </w:p>
    <w:p>
      <w:pPr>
        <w:spacing w:after="140" w:line="259" w:lineRule="auto"/>
      </w:pPr>
      <w:r>
        <w:t>Queda pendiente que Riesgo confirme el umbral de concentración sectorial que debemos aplicar.</w:t>
      </w:r>
    </w:p>
    <w:p>
      <w:pPr>
        <w:spacing w:before="200" w:after="40"/>
      </w:pPr>
      <w:r>
        <w:rPr>
          <w:b/>
          <w:color w:val="17365D"/>
        </w:rPr>
        <w:t>Mateo Ruiz</w:t>
      </w:r>
      <w:r>
        <w:br/>
        <w:t>Gerente de Analítica de Portafolio</w:t>
        <w:br/>
        <w:t>Comité de Inversiones</w:t>
      </w:r>
    </w:p>
    <w:p>
      <w:pPr>
        <w:spacing w:before="160" w:after="200"/>
        <w:pBdr>
          <w:bottom w:val="single" w:sz="6" w:space="1" w:color="D0D7DE"/>
        </w:pBdr>
      </w:pPr>
    </w:p>
    <w:p>
      <w:pPr>
        <w:pStyle w:val="Heading1"/>
        <w:keepNext/>
      </w:pPr>
      <w:r>
        <w:t>Laura Méndez — 10:06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9000"/>
      </w:tblGrid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De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Laura Méndez &lt;laura.mendez@inversiones.corp&gt;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Para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Andrea Torres &lt;andrea.torres@inversiones.corp&gt;, Mateo Ruiz &lt;mateo.ruiz@inversiones.corp&gt;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Daniel Rojas &lt;daniel.rojas@inversiones.corp&gt;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lunes, 5 de octubre de 2026, 10:06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Asunto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RE: Comité de inversión | Revisión del portafolio y próximos pasos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t>Equipo,</w:t>
      </w:r>
    </w:p>
    <w:p>
      <w:pPr>
        <w:spacing w:after="140" w:line="259" w:lineRule="auto"/>
      </w:pPr>
      <w:r>
        <w:t>Confirmo que las cifras de exposición y rendimiento coinciden con el archivo de seguimiento.</w:t>
      </w:r>
    </w:p>
    <w:p>
      <w:pPr>
        <w:spacing w:after="140" w:line="259" w:lineRule="auto"/>
      </w:pPr>
      <w:r>
        <w:t>Desde Riesgo, la lectura para el comité debe quedar así:</w:t>
      </w:r>
    </w:p>
    <w:p>
      <w:pPr>
        <w:pStyle w:val="ListBullet"/>
        <w:spacing w:after="60"/>
        <w:ind w:left="317" w:hanging="173"/>
      </w:pPr>
      <w:r>
        <w:t>La concentración en Tecnología es un punto de atención por su crecimiento a 52,0 % en octubre.</w:t>
      </w:r>
    </w:p>
    <w:p>
      <w:pPr>
        <w:pStyle w:val="ListBullet"/>
        <w:spacing w:after="60"/>
        <w:ind w:left="317" w:hanging="173"/>
      </w:pPr>
      <w:r>
        <w:t>No debemos presentar esa concentración como incumplimiento hasta validar el límite formal aplicable.</w:t>
      </w:r>
    </w:p>
    <w:p>
      <w:pPr>
        <w:pStyle w:val="ListBullet"/>
        <w:spacing w:after="60"/>
        <w:ind w:left="317" w:hanging="173"/>
      </w:pPr>
      <w:r>
        <w:t>El comportamiento del Fondo Infraestructura Energética requiere seguimiento, pero el archivo por sí solo no permite atribuir causas ni definir una salida.</w:t>
      </w:r>
    </w:p>
    <w:p>
      <w:pPr>
        <w:spacing w:after="140" w:line="259" w:lineRule="auto"/>
      </w:pPr>
      <w:r>
        <w:t>Estoy revisando el límite vigente con el equipo de políticas. Aún no tengo una fecha confirmada para cerrar ese punto.</w:t>
      </w:r>
    </w:p>
    <w:p>
      <w:pPr>
        <w:spacing w:before="200" w:after="40"/>
      </w:pPr>
      <w:r>
        <w:rPr>
          <w:b/>
          <w:color w:val="17365D"/>
        </w:rPr>
        <w:t>Laura Méndez</w:t>
      </w:r>
      <w:r>
        <w:br/>
        <w:t>Gerente de Riesgo de Mercado</w:t>
        <w:br/>
        <w:t>Comité de Inversiones</w:t>
      </w:r>
    </w:p>
    <w:p>
      <w:pPr>
        <w:spacing w:before="160" w:after="200"/>
        <w:pBdr>
          <w:bottom w:val="single" w:sz="6" w:space="1" w:color="D0D7DE"/>
        </w:pBdr>
      </w:pPr>
    </w:p>
    <w:p>
      <w:pPr>
        <w:pStyle w:val="Heading1"/>
        <w:keepNext/>
      </w:pPr>
      <w:r>
        <w:t>Andrea Torres — 10:38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9000"/>
      </w:tblGrid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De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Andrea Torres &lt;andrea.torres@inversiones.corp&gt;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Para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Mateo Ruiz &lt;mateo.ruiz@inversiones.corp&gt;, Laura Méndez &lt;laura.mendez@inversiones.corp&gt;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Daniel Rojas &lt;daniel.rojas@inversiones.corp&gt;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lunes, 5 de octubre de 2026, 10:38</w:t>
            </w:r>
          </w:p>
        </w:tc>
      </w:tr>
      <w:tr>
        <w:tc>
          <w:tcPr>
            <w:tcW w:type="dxa" w:w="5083"/>
            <w:vAlign w:val="center"/>
            <w:shd w:fill="EEF3F8"/>
          </w:tcPr>
          <w:p>
            <w:pPr>
              <w:spacing w:before="0" w:after="0"/>
            </w:pPr>
            <w:r>
              <w:rPr>
                <w:b/>
                <w:sz w:val="18"/>
              </w:rPr>
              <w:t>Asunto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RE: Comité de inversión | Revisión del portafolio y próximos pasos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t>Gracias. Para cerrar el seguimiento de hoy, quedan confirmados los siguientes acuerdos:</w:t>
      </w:r>
    </w:p>
    <w:p>
      <w:pPr>
        <w:pStyle w:val="ListBullet"/>
        <w:spacing w:after="60"/>
        <w:ind w:left="317" w:hanging="173"/>
      </w:pPr>
      <w:r>
        <w:t>El memo y el deck se mantendrán como documentos de trabajo para la próxima revisión interna.</w:t>
      </w:r>
    </w:p>
    <w:p>
      <w:pPr>
        <w:pStyle w:val="ListBullet"/>
        <w:spacing w:after="60"/>
        <w:ind w:left="317" w:hanging="173"/>
      </w:pPr>
      <w:r>
        <w:t>No existe aprobación final para rebalancear el portafolio.</w:t>
      </w:r>
    </w:p>
    <w:p>
      <w:pPr>
        <w:pStyle w:val="ListBullet"/>
        <w:spacing w:after="60"/>
        <w:ind w:left="317" w:hanging="173"/>
      </w:pPr>
      <w:r>
        <w:t>Mateo entregará el cuadro de sensibilidad el 8 de octubre.</w:t>
      </w:r>
    </w:p>
    <w:p>
      <w:pPr>
        <w:pStyle w:val="ListBullet"/>
        <w:spacing w:after="60"/>
        <w:ind w:left="317" w:hanging="173"/>
      </w:pPr>
      <w:r>
        <w:t>Riesgo confirmará el límite de concentración sectorial; la fecha de cierre permanece pendiente.</w:t>
      </w:r>
    </w:p>
    <w:p>
      <w:pPr>
        <w:pStyle w:val="ListBullet"/>
        <w:spacing w:after="60"/>
        <w:ind w:left="317" w:hanging="173"/>
      </w:pPr>
      <w:r>
        <w:t>Cualquier análisis adicional, incluido el uso de Analyst, deberá contrastarse nuevamente contra el libro antes de incorporarse al memo o al correo final.</w:t>
      </w:r>
    </w:p>
    <w:p>
      <w:pPr>
        <w:spacing w:after="140" w:line="259" w:lineRule="auto"/>
      </w:pPr>
      <w:r>
        <w:t>El correo de seguimiento debe distinguir decisiones confirmadas, acciones con responsable, riesgos/dependencias y asuntos pendientes. Evitemos completar responsables o fechas que no estén expresamente confirmados.</w:t>
      </w:r>
    </w:p>
    <w:p>
      <w:pPr>
        <w:spacing w:before="200" w:after="40"/>
      </w:pPr>
      <w:r>
        <w:rPr>
          <w:b/>
          <w:color w:val="17365D"/>
        </w:rPr>
        <w:t>Andrea Torres</w:t>
      </w:r>
      <w:r>
        <w:br/>
        <w:t>Directora de Inversiones</w:t>
        <w:br/>
        <w:t>Comité de Inversiones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0"/>
        <w:sz w:val="16"/>
      </w:rPr>
      <w:t>Comité de Inversiones |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