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DB Coding/Standards &amp;  Project Expectations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b w:val="1"/>
          <w:color w:val="242729"/>
          <w:sz w:val="23"/>
          <w:szCs w:val="23"/>
        </w:rPr>
      </w:pPr>
      <w:r w:rsidDel="00000000" w:rsidR="00000000" w:rsidRPr="00000000">
        <w:rPr>
          <w:b w:val="1"/>
          <w:color w:val="242729"/>
          <w:sz w:val="23"/>
          <w:szCs w:val="23"/>
          <w:rtl w:val="0"/>
        </w:rPr>
        <w:t xml:space="preserve">Best practices</w:t>
      </w:r>
    </w:p>
    <w:p w:rsidR="00000000" w:rsidDel="00000000" w:rsidP="00000000" w:rsidRDefault="00000000" w:rsidRPr="00000000" w14:paraId="00000004">
      <w:pPr>
        <w:numPr>
          <w:ilvl w:val="0"/>
          <w:numId w:val="11"/>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Use the brackets around objects, so the query engine excplicitly knows a field when it sees it</w:t>
      </w:r>
    </w:p>
    <w:p w:rsidR="00000000" w:rsidDel="00000000" w:rsidP="00000000" w:rsidRDefault="00000000" w:rsidRPr="00000000" w14:paraId="00000005">
      <w:pPr>
        <w:numPr>
          <w:ilvl w:val="0"/>
          <w:numId w:val="11"/>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Use THE SAME CASE as table object names and field names</w:t>
      </w:r>
    </w:p>
    <w:p w:rsidR="00000000" w:rsidDel="00000000" w:rsidP="00000000" w:rsidRDefault="00000000" w:rsidRPr="00000000" w14:paraId="00000006">
      <w:pPr>
        <w:numPr>
          <w:ilvl w:val="0"/>
          <w:numId w:val="11"/>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When calling SPs from application, use the fully qualified [dbo].[procName] with correct owner AND case. Not Kidding! Read the articles above!</w:t>
      </w:r>
    </w:p>
    <w:p w:rsidR="00000000" w:rsidDel="00000000" w:rsidP="00000000" w:rsidRDefault="00000000" w:rsidRPr="00000000" w14:paraId="00000007">
      <w:pPr>
        <w:numPr>
          <w:ilvl w:val="0"/>
          <w:numId w:val="11"/>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Reference the owner of the object so security is explicitly known and doesn't have to be figured out</w:t>
      </w:r>
    </w:p>
    <w:p w:rsidR="00000000" w:rsidDel="00000000" w:rsidP="00000000" w:rsidRDefault="00000000" w:rsidRPr="00000000" w14:paraId="00000008">
      <w:pPr>
        <w:numPr>
          <w:ilvl w:val="0"/>
          <w:numId w:val="11"/>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DON'T us "sp_" as this refers to system stored procs, and overhead</w:t>
      </w:r>
    </w:p>
    <w:p w:rsidR="00000000" w:rsidDel="00000000" w:rsidP="00000000" w:rsidRDefault="00000000" w:rsidRPr="00000000" w14:paraId="00000009">
      <w:pPr>
        <w:numPr>
          <w:ilvl w:val="0"/>
          <w:numId w:val="11"/>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Use SET NOCOUNT ON and SET NOCOUNT OFF to eliminate the extra overhead to keep track of how many records are updated in the stored proc unless you need them. Normally, you don't and you can gain a huge increase in performance.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b w:val="1"/>
          <w:color w:val="242729"/>
          <w:sz w:val="23"/>
          <w:szCs w:val="23"/>
        </w:rPr>
      </w:pPr>
      <w:r w:rsidDel="00000000" w:rsidR="00000000" w:rsidRPr="00000000">
        <w:rPr>
          <w:b w:val="1"/>
          <w:color w:val="242729"/>
          <w:sz w:val="23"/>
          <w:szCs w:val="23"/>
          <w:rtl w:val="0"/>
        </w:rPr>
        <w:t xml:space="preserve">Preferences</w:t>
      </w:r>
    </w:p>
    <w:p w:rsidR="00000000" w:rsidDel="00000000" w:rsidP="00000000" w:rsidRDefault="00000000" w:rsidRPr="00000000" w14:paraId="0000000B">
      <w:pPr>
        <w:numPr>
          <w:ilvl w:val="0"/>
          <w:numId w:val="12"/>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Prefix stored procs with proc</w:t>
      </w:r>
    </w:p>
    <w:p w:rsidR="00000000" w:rsidDel="00000000" w:rsidP="00000000" w:rsidRDefault="00000000" w:rsidRPr="00000000" w14:paraId="0000000C">
      <w:pPr>
        <w:numPr>
          <w:ilvl w:val="0"/>
          <w:numId w:val="12"/>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Suffix every stored proc with SEL, UPD, DEL, INS (or SELECT, UPDATE, DELETE, INSERT)</w:t>
      </w:r>
    </w:p>
    <w:p w:rsidR="00000000" w:rsidDel="00000000" w:rsidP="00000000" w:rsidRDefault="00000000" w:rsidRPr="00000000" w14:paraId="0000000D">
      <w:pPr>
        <w:numPr>
          <w:ilvl w:val="0"/>
          <w:numId w:val="12"/>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Capitalize reserved words</w:t>
      </w:r>
    </w:p>
    <w:p w:rsidR="00000000" w:rsidDel="00000000" w:rsidP="00000000" w:rsidRDefault="00000000" w:rsidRPr="00000000" w14:paraId="0000000E">
      <w:pPr>
        <w:numPr>
          <w:ilvl w:val="0"/>
          <w:numId w:val="12"/>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Main keywords on new line (scripting)</w:t>
      </w:r>
    </w:p>
    <w:p w:rsidR="00000000" w:rsidDel="00000000" w:rsidP="00000000" w:rsidRDefault="00000000" w:rsidRPr="00000000" w14:paraId="0000000F">
      <w:pPr>
        <w:numPr>
          <w:ilvl w:val="0"/>
          <w:numId w:val="12"/>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Use commas before columns (scripting)</w:t>
      </w:r>
    </w:p>
    <w:p w:rsidR="00000000" w:rsidDel="00000000" w:rsidP="00000000" w:rsidRDefault="00000000" w:rsidRPr="00000000" w14:paraId="00000010">
      <w:pPr>
        <w:numPr>
          <w:ilvl w:val="0"/>
          <w:numId w:val="12"/>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Prefix views with vw</w:t>
      </w:r>
    </w:p>
    <w:p w:rsidR="00000000" w:rsidDel="00000000" w:rsidP="00000000" w:rsidRDefault="00000000" w:rsidRPr="00000000" w14:paraId="00000011">
      <w:pPr>
        <w:numPr>
          <w:ilvl w:val="0"/>
          <w:numId w:val="12"/>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Don't prefix tables</w:t>
      </w:r>
    </w:p>
    <w:p w:rsidR="00000000" w:rsidDel="00000000" w:rsidP="00000000" w:rsidRDefault="00000000" w:rsidRPr="00000000" w14:paraId="00000012">
      <w:pPr>
        <w:numPr>
          <w:ilvl w:val="0"/>
          <w:numId w:val="12"/>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Table names singular</w:t>
      </w:r>
    </w:p>
    <w:p w:rsidR="00000000" w:rsidDel="00000000" w:rsidP="00000000" w:rsidRDefault="00000000" w:rsidRPr="00000000" w14:paraId="00000013">
      <w:pPr>
        <w:numPr>
          <w:ilvl w:val="0"/>
          <w:numId w:val="12"/>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Add a suffix to the standard names like "_ByPK", "_OrderByLastName", or "_Top15Orders" for variations on the stock SP</w:t>
      </w:r>
    </w:p>
    <w:p w:rsidR="00000000" w:rsidDel="00000000" w:rsidP="00000000" w:rsidRDefault="00000000" w:rsidRPr="00000000" w14:paraId="00000014">
      <w:pPr>
        <w:shd w:fill="ffffff" w:val="clear"/>
        <w:spacing w:after="360" w:lineRule="auto"/>
        <w:jc w:val="both"/>
        <w:rPr>
          <w:b w:val="1"/>
          <w:color w:val="363b3f"/>
          <w:sz w:val="21"/>
          <w:szCs w:val="21"/>
          <w:u w:val="single"/>
        </w:rPr>
      </w:pPr>
      <w:r w:rsidDel="00000000" w:rsidR="00000000" w:rsidRPr="00000000">
        <w:rPr>
          <w:b w:val="1"/>
          <w:color w:val="363b3f"/>
          <w:sz w:val="21"/>
          <w:szCs w:val="21"/>
          <w:u w:val="single"/>
          <w:rtl w:val="0"/>
        </w:rPr>
        <w:t xml:space="preserve">Naming</w:t>
      </w:r>
    </w:p>
    <w:p w:rsidR="00000000" w:rsidDel="00000000" w:rsidP="00000000" w:rsidRDefault="00000000" w:rsidRPr="00000000" w14:paraId="00000015">
      <w:pPr>
        <w:shd w:fill="ffffff" w:val="clear"/>
        <w:spacing w:after="360" w:lineRule="auto"/>
        <w:jc w:val="both"/>
        <w:rPr>
          <w:color w:val="363b3f"/>
          <w:sz w:val="21"/>
          <w:szCs w:val="21"/>
        </w:rPr>
      </w:pPr>
      <w:r w:rsidDel="00000000" w:rsidR="00000000" w:rsidRPr="00000000">
        <w:rPr>
          <w:b w:val="1"/>
          <w:color w:val="363b3f"/>
          <w:sz w:val="21"/>
          <w:szCs w:val="21"/>
          <w:rtl w:val="0"/>
        </w:rPr>
        <w:t xml:space="preserve">Tables:</w:t>
      </w:r>
      <w:r w:rsidDel="00000000" w:rsidR="00000000" w:rsidRPr="00000000">
        <w:rPr>
          <w:color w:val="363b3f"/>
          <w:sz w:val="21"/>
          <w:szCs w:val="21"/>
          <w:rtl w:val="0"/>
        </w:rPr>
        <w:t xml:space="preserve"> Rules: Pascal notation; end with an ‘s’</w:t>
      </w:r>
    </w:p>
    <w:p w:rsidR="00000000" w:rsidDel="00000000" w:rsidP="00000000" w:rsidRDefault="00000000" w:rsidRPr="00000000" w14:paraId="00000016">
      <w:pPr>
        <w:numPr>
          <w:ilvl w:val="0"/>
          <w:numId w:val="6"/>
        </w:numPr>
        <w:shd w:fill="ffffff" w:val="clear"/>
        <w:spacing w:after="0" w:afterAutospacing="0" w:lineRule="auto"/>
        <w:ind w:left="720" w:hanging="360"/>
      </w:pPr>
      <w:r w:rsidDel="00000000" w:rsidR="00000000" w:rsidRPr="00000000">
        <w:rPr>
          <w:color w:val="363b3f"/>
          <w:sz w:val="21"/>
          <w:szCs w:val="21"/>
          <w:rtl w:val="0"/>
        </w:rPr>
        <w:t xml:space="preserve">Examples: Products, Customers</w:t>
      </w:r>
    </w:p>
    <w:p w:rsidR="00000000" w:rsidDel="00000000" w:rsidP="00000000" w:rsidRDefault="00000000" w:rsidRPr="00000000" w14:paraId="00000017">
      <w:pPr>
        <w:numPr>
          <w:ilvl w:val="0"/>
          <w:numId w:val="6"/>
        </w:numPr>
        <w:shd w:fill="ffffff" w:val="clear"/>
        <w:spacing w:after="360" w:lineRule="auto"/>
        <w:ind w:left="720" w:hanging="360"/>
      </w:pPr>
      <w:r w:rsidDel="00000000" w:rsidR="00000000" w:rsidRPr="00000000">
        <w:rPr>
          <w:color w:val="363b3f"/>
          <w:sz w:val="21"/>
          <w:szCs w:val="21"/>
          <w:rtl w:val="0"/>
        </w:rPr>
        <w:t xml:space="preserve">Group related table names</w:t>
      </w:r>
      <w:r w:rsidDel="00000000" w:rsidR="00000000" w:rsidRPr="00000000">
        <w:rPr>
          <w:color w:val="363b3f"/>
          <w:sz w:val="16"/>
          <w:szCs w:val="16"/>
          <w:rtl w:val="0"/>
        </w:rPr>
        <w:t xml:space="preserve">1</w:t>
      </w:r>
    </w:p>
    <w:p w:rsidR="00000000" w:rsidDel="00000000" w:rsidP="00000000" w:rsidRDefault="00000000" w:rsidRPr="00000000" w14:paraId="00000018">
      <w:pPr>
        <w:shd w:fill="ffffff" w:val="clear"/>
        <w:spacing w:after="360" w:lineRule="auto"/>
        <w:jc w:val="both"/>
        <w:rPr>
          <w:color w:val="363b3f"/>
          <w:sz w:val="21"/>
          <w:szCs w:val="21"/>
        </w:rPr>
      </w:pPr>
      <w:r w:rsidDel="00000000" w:rsidR="00000000" w:rsidRPr="00000000">
        <w:rPr>
          <w:b w:val="1"/>
          <w:color w:val="363b3f"/>
          <w:sz w:val="21"/>
          <w:szCs w:val="21"/>
          <w:rtl w:val="0"/>
        </w:rPr>
        <w:t xml:space="preserve">Stored Procs: </w:t>
      </w:r>
      <w:r w:rsidDel="00000000" w:rsidR="00000000" w:rsidRPr="00000000">
        <w:rPr>
          <w:color w:val="363b3f"/>
          <w:sz w:val="21"/>
          <w:szCs w:val="21"/>
          <w:rtl w:val="0"/>
        </w:rPr>
        <w:t xml:space="preserve">Rules: sp&lt;App Name&gt;_[&lt;Group Name &gt;_]&lt;Action&gt;&lt;table/logical instance&gt;</w:t>
      </w:r>
    </w:p>
    <w:p w:rsidR="00000000" w:rsidDel="00000000" w:rsidP="00000000" w:rsidRDefault="00000000" w:rsidRPr="00000000" w14:paraId="00000019">
      <w:pPr>
        <w:numPr>
          <w:ilvl w:val="0"/>
          <w:numId w:val="7"/>
        </w:numPr>
        <w:shd w:fill="ffffff" w:val="clear"/>
        <w:spacing w:after="360" w:lineRule="auto"/>
        <w:ind w:left="720" w:hanging="360"/>
      </w:pPr>
      <w:r w:rsidDel="00000000" w:rsidR="00000000" w:rsidRPr="00000000">
        <w:rPr>
          <w:color w:val="363b3f"/>
          <w:sz w:val="21"/>
          <w:szCs w:val="21"/>
          <w:rtl w:val="0"/>
        </w:rPr>
        <w:t xml:space="preserve">Examples: spOrders_GetNewOrders, spProducts_UpdateProduct</w:t>
      </w:r>
    </w:p>
    <w:p w:rsidR="00000000" w:rsidDel="00000000" w:rsidP="00000000" w:rsidRDefault="00000000" w:rsidRPr="00000000" w14:paraId="0000001A">
      <w:pPr>
        <w:shd w:fill="ffffff" w:val="clear"/>
        <w:spacing w:after="360" w:lineRule="auto"/>
        <w:jc w:val="both"/>
        <w:rPr>
          <w:color w:val="363b3f"/>
          <w:sz w:val="21"/>
          <w:szCs w:val="21"/>
        </w:rPr>
      </w:pPr>
      <w:r w:rsidDel="00000000" w:rsidR="00000000" w:rsidRPr="00000000">
        <w:rPr>
          <w:b w:val="1"/>
          <w:color w:val="363b3f"/>
          <w:sz w:val="21"/>
          <w:szCs w:val="21"/>
          <w:rtl w:val="0"/>
        </w:rPr>
        <w:t xml:space="preserve">Triggers: </w:t>
      </w:r>
      <w:r w:rsidDel="00000000" w:rsidR="00000000" w:rsidRPr="00000000">
        <w:rPr>
          <w:color w:val="363b3f"/>
          <w:sz w:val="21"/>
          <w:szCs w:val="21"/>
          <w:rtl w:val="0"/>
        </w:rPr>
        <w:t xml:space="preserve">Rules: TR_&lt;TableName&gt;_&lt;action&gt;</w:t>
      </w:r>
    </w:p>
    <w:p w:rsidR="00000000" w:rsidDel="00000000" w:rsidP="00000000" w:rsidRDefault="00000000" w:rsidRPr="00000000" w14:paraId="0000001B">
      <w:pPr>
        <w:numPr>
          <w:ilvl w:val="0"/>
          <w:numId w:val="2"/>
        </w:numPr>
        <w:shd w:fill="ffffff" w:val="clear"/>
        <w:spacing w:after="0" w:afterAutospacing="0" w:lineRule="auto"/>
        <w:ind w:left="720" w:hanging="360"/>
      </w:pPr>
      <w:r w:rsidDel="00000000" w:rsidR="00000000" w:rsidRPr="00000000">
        <w:rPr>
          <w:color w:val="363b3f"/>
          <w:sz w:val="21"/>
          <w:szCs w:val="21"/>
          <w:rtl w:val="0"/>
        </w:rPr>
        <w:t xml:space="preserve">Examples: TR_Orders_UpdateProducts</w:t>
      </w:r>
    </w:p>
    <w:p w:rsidR="00000000" w:rsidDel="00000000" w:rsidP="00000000" w:rsidRDefault="00000000" w:rsidRPr="00000000" w14:paraId="0000001C">
      <w:pPr>
        <w:numPr>
          <w:ilvl w:val="0"/>
          <w:numId w:val="2"/>
        </w:numPr>
        <w:shd w:fill="ffffff" w:val="clear"/>
        <w:spacing w:after="360" w:lineRule="auto"/>
        <w:ind w:left="720" w:hanging="360"/>
      </w:pPr>
      <w:r w:rsidDel="00000000" w:rsidR="00000000" w:rsidRPr="00000000">
        <w:rPr>
          <w:color w:val="363b3f"/>
          <w:sz w:val="21"/>
          <w:szCs w:val="21"/>
          <w:rtl w:val="0"/>
        </w:rPr>
        <w:t xml:space="preserve">Notes: The use of triggers is discouraged</w:t>
      </w:r>
    </w:p>
    <w:p w:rsidR="00000000" w:rsidDel="00000000" w:rsidP="00000000" w:rsidRDefault="00000000" w:rsidRPr="00000000" w14:paraId="0000001D">
      <w:pPr>
        <w:shd w:fill="ffffff" w:val="clear"/>
        <w:spacing w:after="360" w:lineRule="auto"/>
        <w:jc w:val="both"/>
        <w:rPr>
          <w:color w:val="363b3f"/>
          <w:sz w:val="21"/>
          <w:szCs w:val="21"/>
        </w:rPr>
      </w:pPr>
      <w:r w:rsidDel="00000000" w:rsidR="00000000" w:rsidRPr="00000000">
        <w:rPr>
          <w:b w:val="1"/>
          <w:color w:val="363b3f"/>
          <w:sz w:val="21"/>
          <w:szCs w:val="21"/>
          <w:rtl w:val="0"/>
        </w:rPr>
        <w:t xml:space="preserve">Indexes:</w:t>
      </w:r>
      <w:r w:rsidDel="00000000" w:rsidR="00000000" w:rsidRPr="00000000">
        <w:rPr>
          <w:color w:val="363b3f"/>
          <w:sz w:val="21"/>
          <w:szCs w:val="21"/>
          <w:rtl w:val="0"/>
        </w:rPr>
        <w:t xml:space="preserve"> Rules: IX_&lt;TableName&gt;_&lt;columns separated by _&gt;</w:t>
      </w:r>
    </w:p>
    <w:p w:rsidR="00000000" w:rsidDel="00000000" w:rsidP="00000000" w:rsidRDefault="00000000" w:rsidRPr="00000000" w14:paraId="0000001E">
      <w:pPr>
        <w:numPr>
          <w:ilvl w:val="0"/>
          <w:numId w:val="8"/>
        </w:numPr>
        <w:shd w:fill="ffffff" w:val="clear"/>
        <w:spacing w:after="360" w:lineRule="auto"/>
        <w:ind w:left="720" w:hanging="360"/>
      </w:pPr>
      <w:r w:rsidDel="00000000" w:rsidR="00000000" w:rsidRPr="00000000">
        <w:rPr>
          <w:color w:val="363b3f"/>
          <w:sz w:val="21"/>
          <w:szCs w:val="21"/>
          <w:rtl w:val="0"/>
        </w:rPr>
        <w:t xml:space="preserve">Examples: IX_Products_ProductID</w:t>
      </w:r>
    </w:p>
    <w:p w:rsidR="00000000" w:rsidDel="00000000" w:rsidP="00000000" w:rsidRDefault="00000000" w:rsidRPr="00000000" w14:paraId="0000001F">
      <w:pPr>
        <w:shd w:fill="ffffff" w:val="clear"/>
        <w:spacing w:after="360" w:lineRule="auto"/>
        <w:jc w:val="both"/>
        <w:rPr>
          <w:color w:val="363b3f"/>
          <w:sz w:val="21"/>
          <w:szCs w:val="21"/>
        </w:rPr>
      </w:pPr>
      <w:r w:rsidDel="00000000" w:rsidR="00000000" w:rsidRPr="00000000">
        <w:rPr>
          <w:b w:val="1"/>
          <w:color w:val="363b3f"/>
          <w:sz w:val="21"/>
          <w:szCs w:val="21"/>
          <w:rtl w:val="0"/>
        </w:rPr>
        <w:t xml:space="preserve">Primary Keys:</w:t>
      </w:r>
      <w:r w:rsidDel="00000000" w:rsidR="00000000" w:rsidRPr="00000000">
        <w:rPr>
          <w:color w:val="363b3f"/>
          <w:sz w:val="21"/>
          <w:szCs w:val="21"/>
          <w:rtl w:val="0"/>
        </w:rPr>
        <w:t xml:space="preserve"> Rules: PK_&lt;TableName&gt;</w:t>
      </w:r>
    </w:p>
    <w:p w:rsidR="00000000" w:rsidDel="00000000" w:rsidP="00000000" w:rsidRDefault="00000000" w:rsidRPr="00000000" w14:paraId="00000020">
      <w:pPr>
        <w:numPr>
          <w:ilvl w:val="0"/>
          <w:numId w:val="4"/>
        </w:numPr>
        <w:shd w:fill="ffffff" w:val="clear"/>
        <w:spacing w:after="360" w:lineRule="auto"/>
        <w:ind w:left="720" w:hanging="360"/>
      </w:pPr>
      <w:r w:rsidDel="00000000" w:rsidR="00000000" w:rsidRPr="00000000">
        <w:rPr>
          <w:color w:val="363b3f"/>
          <w:sz w:val="21"/>
          <w:szCs w:val="21"/>
          <w:rtl w:val="0"/>
        </w:rPr>
        <w:t xml:space="preserve">Examples: PK_Products</w:t>
      </w:r>
    </w:p>
    <w:p w:rsidR="00000000" w:rsidDel="00000000" w:rsidP="00000000" w:rsidRDefault="00000000" w:rsidRPr="00000000" w14:paraId="00000021">
      <w:pPr>
        <w:shd w:fill="ffffff" w:val="clear"/>
        <w:spacing w:after="360" w:lineRule="auto"/>
        <w:jc w:val="both"/>
        <w:rPr>
          <w:color w:val="363b3f"/>
          <w:sz w:val="21"/>
          <w:szCs w:val="21"/>
        </w:rPr>
      </w:pPr>
      <w:r w:rsidDel="00000000" w:rsidR="00000000" w:rsidRPr="00000000">
        <w:rPr>
          <w:b w:val="1"/>
          <w:color w:val="363b3f"/>
          <w:sz w:val="21"/>
          <w:szCs w:val="21"/>
          <w:rtl w:val="0"/>
        </w:rPr>
        <w:t xml:space="preserve">Foreign Keys:</w:t>
      </w:r>
      <w:r w:rsidDel="00000000" w:rsidR="00000000" w:rsidRPr="00000000">
        <w:rPr>
          <w:color w:val="363b3f"/>
          <w:sz w:val="21"/>
          <w:szCs w:val="21"/>
          <w:rtl w:val="0"/>
        </w:rPr>
        <w:t xml:space="preserve"> Rules: FK_&lt;TableName1&gt;_&lt;TableName2&gt;</w:t>
      </w:r>
    </w:p>
    <w:p w:rsidR="00000000" w:rsidDel="00000000" w:rsidP="00000000" w:rsidRDefault="00000000" w:rsidRPr="00000000" w14:paraId="00000022">
      <w:pPr>
        <w:numPr>
          <w:ilvl w:val="0"/>
          <w:numId w:val="1"/>
        </w:numPr>
        <w:shd w:fill="ffffff" w:val="clear"/>
        <w:spacing w:after="360" w:lineRule="auto"/>
        <w:ind w:left="720" w:hanging="360"/>
      </w:pPr>
      <w:r w:rsidDel="00000000" w:rsidR="00000000" w:rsidRPr="00000000">
        <w:rPr>
          <w:color w:val="363b3f"/>
          <w:sz w:val="21"/>
          <w:szCs w:val="21"/>
          <w:rtl w:val="0"/>
        </w:rPr>
        <w:t xml:space="preserve">Example: FK_Products_Orderss</w:t>
      </w:r>
    </w:p>
    <w:p w:rsidR="00000000" w:rsidDel="00000000" w:rsidP="00000000" w:rsidRDefault="00000000" w:rsidRPr="00000000" w14:paraId="00000023">
      <w:pPr>
        <w:shd w:fill="ffffff" w:val="clear"/>
        <w:spacing w:after="360" w:lineRule="auto"/>
        <w:jc w:val="both"/>
        <w:rPr>
          <w:color w:val="363b3f"/>
          <w:sz w:val="21"/>
          <w:szCs w:val="21"/>
        </w:rPr>
      </w:pPr>
      <w:r w:rsidDel="00000000" w:rsidR="00000000" w:rsidRPr="00000000">
        <w:rPr>
          <w:b w:val="1"/>
          <w:color w:val="363b3f"/>
          <w:sz w:val="21"/>
          <w:szCs w:val="21"/>
          <w:rtl w:val="0"/>
        </w:rPr>
        <w:t xml:space="preserve">Defaults:</w:t>
      </w:r>
      <w:r w:rsidDel="00000000" w:rsidR="00000000" w:rsidRPr="00000000">
        <w:rPr>
          <w:color w:val="363b3f"/>
          <w:sz w:val="21"/>
          <w:szCs w:val="21"/>
          <w:rtl w:val="0"/>
        </w:rPr>
        <w:t xml:space="preserve"> Rules: DF_&lt;TableName&gt;_&lt;ColumnName&gt;</w:t>
      </w:r>
    </w:p>
    <w:p w:rsidR="00000000" w:rsidDel="00000000" w:rsidP="00000000" w:rsidRDefault="00000000" w:rsidRPr="00000000" w14:paraId="00000024">
      <w:pPr>
        <w:numPr>
          <w:ilvl w:val="0"/>
          <w:numId w:val="3"/>
        </w:numPr>
        <w:shd w:fill="ffffff" w:val="clear"/>
        <w:spacing w:after="360" w:lineRule="auto"/>
        <w:ind w:left="720" w:hanging="360"/>
      </w:pPr>
      <w:r w:rsidDel="00000000" w:rsidR="00000000" w:rsidRPr="00000000">
        <w:rPr>
          <w:color w:val="363b3f"/>
          <w:sz w:val="21"/>
          <w:szCs w:val="21"/>
          <w:rtl w:val="0"/>
        </w:rPr>
        <w:t xml:space="preserve">Example: DF_Products_Quantity</w:t>
      </w:r>
    </w:p>
    <w:p w:rsidR="00000000" w:rsidDel="00000000" w:rsidP="00000000" w:rsidRDefault="00000000" w:rsidRPr="00000000" w14:paraId="00000025">
      <w:pPr>
        <w:shd w:fill="ffffff" w:val="clear"/>
        <w:spacing w:after="360" w:lineRule="auto"/>
        <w:jc w:val="both"/>
        <w:rPr>
          <w:color w:val="363b3f"/>
          <w:sz w:val="21"/>
          <w:szCs w:val="21"/>
        </w:rPr>
      </w:pPr>
      <w:r w:rsidDel="00000000" w:rsidR="00000000" w:rsidRPr="00000000">
        <w:rPr>
          <w:b w:val="1"/>
          <w:color w:val="363b3f"/>
          <w:sz w:val="21"/>
          <w:szCs w:val="21"/>
          <w:rtl w:val="0"/>
        </w:rPr>
        <w:t xml:space="preserve">Columns:</w:t>
      </w:r>
      <w:r w:rsidDel="00000000" w:rsidR="00000000" w:rsidRPr="00000000">
        <w:rPr>
          <w:color w:val="363b3f"/>
          <w:sz w:val="21"/>
          <w:szCs w:val="21"/>
          <w:rtl w:val="0"/>
        </w:rPr>
        <w:t xml:space="preserve"> If a column references another table’s column, name it &lt;table name&gt;ID</w:t>
      </w:r>
    </w:p>
    <w:p w:rsidR="00000000" w:rsidDel="00000000" w:rsidP="00000000" w:rsidRDefault="00000000" w:rsidRPr="00000000" w14:paraId="00000026">
      <w:pPr>
        <w:numPr>
          <w:ilvl w:val="0"/>
          <w:numId w:val="9"/>
        </w:numPr>
        <w:shd w:fill="ffffff" w:val="clear"/>
        <w:spacing w:after="0" w:afterAutospacing="0" w:lineRule="auto"/>
        <w:ind w:left="720" w:hanging="360"/>
      </w:pPr>
      <w:r w:rsidDel="00000000" w:rsidR="00000000" w:rsidRPr="00000000">
        <w:rPr>
          <w:color w:val="363b3f"/>
          <w:sz w:val="21"/>
          <w:szCs w:val="21"/>
          <w:rtl w:val="0"/>
        </w:rPr>
        <w:t xml:space="preserve">Example: The Customers table has an ID column</w:t>
      </w:r>
    </w:p>
    <w:p w:rsidR="00000000" w:rsidDel="00000000" w:rsidP="00000000" w:rsidRDefault="00000000" w:rsidRPr="00000000" w14:paraId="00000027">
      <w:pPr>
        <w:numPr>
          <w:ilvl w:val="0"/>
          <w:numId w:val="9"/>
        </w:numPr>
        <w:shd w:fill="ffffff" w:val="clear"/>
        <w:spacing w:after="360" w:lineRule="auto"/>
        <w:ind w:left="720" w:hanging="360"/>
      </w:pPr>
      <w:r w:rsidDel="00000000" w:rsidR="00000000" w:rsidRPr="00000000">
        <w:rPr>
          <w:color w:val="363b3f"/>
          <w:sz w:val="21"/>
          <w:szCs w:val="21"/>
          <w:rtl w:val="0"/>
        </w:rPr>
        <w:t xml:space="preserve">The Orders table should have a CustomerID column</w:t>
      </w:r>
    </w:p>
    <w:p w:rsidR="00000000" w:rsidDel="00000000" w:rsidP="00000000" w:rsidRDefault="00000000" w:rsidRPr="00000000" w14:paraId="00000028">
      <w:pPr>
        <w:shd w:fill="ffffff" w:val="clear"/>
        <w:spacing w:after="360" w:lineRule="auto"/>
        <w:jc w:val="both"/>
        <w:rPr>
          <w:b w:val="1"/>
          <w:color w:val="363b3f"/>
          <w:sz w:val="21"/>
          <w:szCs w:val="21"/>
        </w:rPr>
      </w:pPr>
      <w:r w:rsidDel="00000000" w:rsidR="00000000" w:rsidRPr="00000000">
        <w:rPr>
          <w:b w:val="1"/>
          <w:color w:val="363b3f"/>
          <w:sz w:val="21"/>
          <w:szCs w:val="21"/>
          <w:rtl w:val="0"/>
        </w:rPr>
        <w:t xml:space="preserve">General Rules:</w:t>
      </w:r>
    </w:p>
    <w:p w:rsidR="00000000" w:rsidDel="00000000" w:rsidP="00000000" w:rsidRDefault="00000000" w:rsidRPr="00000000" w14:paraId="00000029">
      <w:pPr>
        <w:numPr>
          <w:ilvl w:val="0"/>
          <w:numId w:val="10"/>
        </w:numPr>
        <w:shd w:fill="ffffff" w:val="clear"/>
        <w:spacing w:after="0" w:afterAutospacing="0" w:lineRule="auto"/>
        <w:ind w:left="720" w:hanging="360"/>
      </w:pPr>
      <w:r w:rsidDel="00000000" w:rsidR="00000000" w:rsidRPr="00000000">
        <w:rPr>
          <w:color w:val="363b3f"/>
          <w:sz w:val="21"/>
          <w:szCs w:val="21"/>
          <w:rtl w:val="0"/>
        </w:rPr>
        <w:t xml:space="preserve">Do not use spaces in the name of database objects</w:t>
      </w:r>
    </w:p>
    <w:p w:rsidR="00000000" w:rsidDel="00000000" w:rsidP="00000000" w:rsidRDefault="00000000" w:rsidRPr="00000000" w14:paraId="0000002A">
      <w:pPr>
        <w:numPr>
          <w:ilvl w:val="1"/>
          <w:numId w:val="10"/>
        </w:numPr>
        <w:shd w:fill="ffffff" w:val="clear"/>
        <w:spacing w:after="0" w:afterAutospacing="0" w:before="0" w:beforeAutospacing="0" w:lineRule="auto"/>
        <w:ind w:left="1440" w:hanging="360"/>
      </w:pPr>
      <w:r w:rsidDel="00000000" w:rsidR="00000000" w:rsidRPr="00000000">
        <w:rPr>
          <w:color w:val="363b3f"/>
          <w:sz w:val="21"/>
          <w:szCs w:val="21"/>
          <w:rtl w:val="0"/>
        </w:rPr>
        <w:t xml:space="preserve">Do not use SQL keywords as the name of database objects</w:t>
      </w:r>
    </w:p>
    <w:p w:rsidR="00000000" w:rsidDel="00000000" w:rsidP="00000000" w:rsidRDefault="00000000" w:rsidRPr="00000000" w14:paraId="0000002B">
      <w:pPr>
        <w:numPr>
          <w:ilvl w:val="1"/>
          <w:numId w:val="10"/>
        </w:numPr>
        <w:shd w:fill="ffffff" w:val="clear"/>
        <w:spacing w:after="0" w:afterAutospacing="0" w:before="0" w:beforeAutospacing="0" w:lineRule="auto"/>
        <w:ind w:left="1440" w:hanging="360"/>
      </w:pPr>
      <w:r w:rsidDel="00000000" w:rsidR="00000000" w:rsidRPr="00000000">
        <w:rPr>
          <w:color w:val="363b3f"/>
          <w:sz w:val="21"/>
          <w:szCs w:val="21"/>
          <w:rtl w:val="0"/>
        </w:rPr>
        <w:t xml:space="preserve">In cases where this is necessary, surround the</w:t>
      </w:r>
    </w:p>
    <w:p w:rsidR="00000000" w:rsidDel="00000000" w:rsidP="00000000" w:rsidRDefault="00000000" w:rsidRPr="00000000" w14:paraId="0000002C">
      <w:pPr>
        <w:numPr>
          <w:ilvl w:val="0"/>
          <w:numId w:val="10"/>
        </w:numPr>
        <w:shd w:fill="ffffff" w:val="clear"/>
        <w:spacing w:after="0" w:afterAutospacing="0" w:lineRule="auto"/>
        <w:ind w:left="720" w:hanging="360"/>
      </w:pPr>
      <w:r w:rsidDel="00000000" w:rsidR="00000000" w:rsidRPr="00000000">
        <w:rPr>
          <w:color w:val="363b3f"/>
          <w:sz w:val="21"/>
          <w:szCs w:val="21"/>
          <w:rtl w:val="0"/>
        </w:rPr>
        <w:t xml:space="preserve">object name with brackets, such as [Year]</w:t>
      </w:r>
    </w:p>
    <w:p w:rsidR="00000000" w:rsidDel="00000000" w:rsidP="00000000" w:rsidRDefault="00000000" w:rsidRPr="00000000" w14:paraId="0000002D">
      <w:pPr>
        <w:numPr>
          <w:ilvl w:val="0"/>
          <w:numId w:val="10"/>
        </w:numPr>
        <w:shd w:fill="ffffff" w:val="clear"/>
        <w:spacing w:after="0" w:afterAutospacing="0" w:lineRule="auto"/>
        <w:ind w:left="720" w:hanging="360"/>
      </w:pPr>
      <w:r w:rsidDel="00000000" w:rsidR="00000000" w:rsidRPr="00000000">
        <w:rPr>
          <w:color w:val="363b3f"/>
          <w:sz w:val="21"/>
          <w:szCs w:val="21"/>
          <w:rtl w:val="0"/>
        </w:rPr>
        <w:t xml:space="preserve">Do not prefix stored procedures with ‘sp_’</w:t>
      </w:r>
      <w:r w:rsidDel="00000000" w:rsidR="00000000" w:rsidRPr="00000000">
        <w:rPr>
          <w:color w:val="363b3f"/>
          <w:sz w:val="16"/>
          <w:szCs w:val="16"/>
          <w:rtl w:val="0"/>
        </w:rPr>
        <w:t xml:space="preserve">2</w:t>
      </w:r>
    </w:p>
    <w:p w:rsidR="00000000" w:rsidDel="00000000" w:rsidP="00000000" w:rsidRDefault="00000000" w:rsidRPr="00000000" w14:paraId="0000002E">
      <w:pPr>
        <w:numPr>
          <w:ilvl w:val="0"/>
          <w:numId w:val="10"/>
        </w:numPr>
        <w:shd w:fill="ffffff" w:val="clear"/>
        <w:spacing w:after="360" w:lineRule="auto"/>
        <w:ind w:left="720" w:hanging="360"/>
      </w:pPr>
      <w:r w:rsidDel="00000000" w:rsidR="00000000" w:rsidRPr="00000000">
        <w:rPr>
          <w:color w:val="363b3f"/>
          <w:sz w:val="21"/>
          <w:szCs w:val="21"/>
          <w:rtl w:val="0"/>
        </w:rPr>
        <w:t xml:space="preserve">Prefix table names with the owner name</w:t>
      </w:r>
      <w:r w:rsidDel="00000000" w:rsidR="00000000" w:rsidRPr="00000000">
        <w:rPr>
          <w:color w:val="363b3f"/>
          <w:sz w:val="16"/>
          <w:szCs w:val="16"/>
          <w:rtl w:val="0"/>
        </w:rPr>
        <w:t xml:space="preserve">3</w:t>
      </w:r>
    </w:p>
    <w:p w:rsidR="00000000" w:rsidDel="00000000" w:rsidP="00000000" w:rsidRDefault="00000000" w:rsidRPr="00000000" w14:paraId="0000002F">
      <w:pPr>
        <w:shd w:fill="ffffff" w:val="clear"/>
        <w:spacing w:after="360" w:lineRule="auto"/>
        <w:jc w:val="both"/>
        <w:rPr>
          <w:b w:val="1"/>
          <w:color w:val="363b3f"/>
          <w:sz w:val="21"/>
          <w:szCs w:val="21"/>
          <w:u w:val="single"/>
        </w:rPr>
      </w:pPr>
      <w:r w:rsidDel="00000000" w:rsidR="00000000" w:rsidRPr="00000000">
        <w:rPr>
          <w:b w:val="1"/>
          <w:color w:val="363b3f"/>
          <w:sz w:val="21"/>
          <w:szCs w:val="21"/>
          <w:u w:val="single"/>
          <w:rtl w:val="0"/>
        </w:rPr>
        <w:t xml:space="preserve">Structure</w:t>
      </w:r>
    </w:p>
    <w:p w:rsidR="00000000" w:rsidDel="00000000" w:rsidP="00000000" w:rsidRDefault="00000000" w:rsidRPr="00000000" w14:paraId="00000030">
      <w:pPr>
        <w:numPr>
          <w:ilvl w:val="0"/>
          <w:numId w:val="5"/>
        </w:numPr>
        <w:shd w:fill="ffffff" w:val="clear"/>
        <w:spacing w:after="0" w:afterAutospacing="0" w:lineRule="auto"/>
        <w:ind w:left="720" w:hanging="360"/>
      </w:pPr>
      <w:r w:rsidDel="00000000" w:rsidR="00000000" w:rsidRPr="00000000">
        <w:rPr>
          <w:color w:val="363b3f"/>
          <w:sz w:val="21"/>
          <w:szCs w:val="21"/>
          <w:rtl w:val="0"/>
        </w:rPr>
        <w:t xml:space="preserve">Each table must have a primary key</w:t>
      </w:r>
    </w:p>
    <w:p w:rsidR="00000000" w:rsidDel="00000000" w:rsidP="00000000" w:rsidRDefault="00000000" w:rsidRPr="00000000" w14:paraId="00000031">
      <w:pPr>
        <w:numPr>
          <w:ilvl w:val="1"/>
          <w:numId w:val="5"/>
        </w:numPr>
        <w:shd w:fill="ffffff" w:val="clear"/>
        <w:spacing w:after="0" w:afterAutospacing="0" w:before="0" w:beforeAutospacing="0" w:lineRule="auto"/>
        <w:ind w:left="1440" w:hanging="360"/>
      </w:pPr>
      <w:r w:rsidDel="00000000" w:rsidR="00000000" w:rsidRPr="00000000">
        <w:rPr>
          <w:color w:val="363b3f"/>
          <w:sz w:val="21"/>
          <w:szCs w:val="21"/>
          <w:rtl w:val="0"/>
        </w:rPr>
        <w:t xml:space="preserve">In most cases it should be an IDENTITY column named ID</w:t>
      </w:r>
    </w:p>
    <w:p w:rsidR="00000000" w:rsidDel="00000000" w:rsidP="00000000" w:rsidRDefault="00000000" w:rsidRPr="00000000" w14:paraId="00000032">
      <w:pPr>
        <w:numPr>
          <w:ilvl w:val="0"/>
          <w:numId w:val="5"/>
        </w:numPr>
        <w:shd w:fill="ffffff" w:val="clear"/>
        <w:spacing w:after="0" w:afterAutospacing="0" w:lineRule="auto"/>
        <w:ind w:left="720" w:hanging="360"/>
      </w:pPr>
      <w:r w:rsidDel="00000000" w:rsidR="00000000" w:rsidRPr="00000000">
        <w:rPr>
          <w:color w:val="363b3f"/>
          <w:sz w:val="21"/>
          <w:szCs w:val="21"/>
          <w:rtl w:val="0"/>
        </w:rPr>
        <w:t xml:space="preserve">Normalize data to third normal form</w:t>
      </w:r>
    </w:p>
    <w:p w:rsidR="00000000" w:rsidDel="00000000" w:rsidP="00000000" w:rsidRDefault="00000000" w:rsidRPr="00000000" w14:paraId="00000033">
      <w:pPr>
        <w:numPr>
          <w:ilvl w:val="1"/>
          <w:numId w:val="5"/>
        </w:numPr>
        <w:shd w:fill="ffffff" w:val="clear"/>
        <w:spacing w:after="0" w:afterAutospacing="0" w:before="0" w:beforeAutospacing="0" w:lineRule="auto"/>
        <w:ind w:left="1440" w:hanging="360"/>
      </w:pPr>
      <w:r w:rsidDel="00000000" w:rsidR="00000000" w:rsidRPr="00000000">
        <w:rPr>
          <w:color w:val="363b3f"/>
          <w:sz w:val="21"/>
          <w:szCs w:val="21"/>
          <w:rtl w:val="0"/>
        </w:rPr>
        <w:t xml:space="preserve">Do not compromise on performance to reach third normal form. Sometimes, a little de-normalization results in better performance.</w:t>
      </w:r>
    </w:p>
    <w:p w:rsidR="00000000" w:rsidDel="00000000" w:rsidP="00000000" w:rsidRDefault="00000000" w:rsidRPr="00000000" w14:paraId="00000034">
      <w:pPr>
        <w:numPr>
          <w:ilvl w:val="0"/>
          <w:numId w:val="5"/>
        </w:numPr>
        <w:shd w:fill="ffffff" w:val="clear"/>
        <w:spacing w:after="0" w:afterAutospacing="0" w:lineRule="auto"/>
        <w:ind w:left="720" w:hanging="360"/>
      </w:pPr>
      <w:r w:rsidDel="00000000" w:rsidR="00000000" w:rsidRPr="00000000">
        <w:rPr>
          <w:color w:val="363b3f"/>
          <w:sz w:val="21"/>
          <w:szCs w:val="21"/>
          <w:rtl w:val="0"/>
        </w:rPr>
        <w:t xml:space="preserve">Do not use TEXT as a data type; use the maximum allowed characters of VARCHAR instead</w:t>
      </w:r>
    </w:p>
    <w:p w:rsidR="00000000" w:rsidDel="00000000" w:rsidP="00000000" w:rsidRDefault="00000000" w:rsidRPr="00000000" w14:paraId="00000035">
      <w:pPr>
        <w:numPr>
          <w:ilvl w:val="0"/>
          <w:numId w:val="5"/>
        </w:numPr>
        <w:shd w:fill="ffffff" w:val="clear"/>
        <w:spacing w:after="0" w:afterAutospacing="0" w:lineRule="auto"/>
        <w:ind w:left="720" w:hanging="360"/>
      </w:pPr>
      <w:r w:rsidDel="00000000" w:rsidR="00000000" w:rsidRPr="00000000">
        <w:rPr>
          <w:color w:val="363b3f"/>
          <w:sz w:val="21"/>
          <w:szCs w:val="21"/>
          <w:rtl w:val="0"/>
        </w:rPr>
        <w:t xml:space="preserve">In VARCHAR data columns, do not default to NULL; use an empty string instead</w:t>
      </w:r>
    </w:p>
    <w:p w:rsidR="00000000" w:rsidDel="00000000" w:rsidP="00000000" w:rsidRDefault="00000000" w:rsidRPr="00000000" w14:paraId="00000036">
      <w:pPr>
        <w:numPr>
          <w:ilvl w:val="0"/>
          <w:numId w:val="5"/>
        </w:numPr>
        <w:shd w:fill="ffffff" w:val="clear"/>
        <w:spacing w:after="0" w:afterAutospacing="0" w:lineRule="auto"/>
        <w:ind w:left="720" w:hanging="360"/>
      </w:pPr>
      <w:r w:rsidDel="00000000" w:rsidR="00000000" w:rsidRPr="00000000">
        <w:rPr>
          <w:color w:val="363b3f"/>
          <w:sz w:val="21"/>
          <w:szCs w:val="21"/>
          <w:rtl w:val="0"/>
        </w:rPr>
        <w:t xml:space="preserve">Columns with default values should not allow NULLs</w:t>
      </w:r>
    </w:p>
    <w:p w:rsidR="00000000" w:rsidDel="00000000" w:rsidP="00000000" w:rsidRDefault="00000000" w:rsidRPr="00000000" w14:paraId="00000037">
      <w:pPr>
        <w:numPr>
          <w:ilvl w:val="0"/>
          <w:numId w:val="5"/>
        </w:numPr>
        <w:shd w:fill="ffffff" w:val="clear"/>
        <w:spacing w:after="360" w:lineRule="auto"/>
        <w:ind w:left="720" w:hanging="360"/>
      </w:pPr>
      <w:r w:rsidDel="00000000" w:rsidR="00000000" w:rsidRPr="00000000">
        <w:rPr>
          <w:color w:val="363b3f"/>
          <w:sz w:val="21"/>
          <w:szCs w:val="21"/>
          <w:rtl w:val="0"/>
        </w:rPr>
        <w:t xml:space="preserve">As much as possible, create stored procedures on the same database as the main tables they will be accessing</w:t>
      </w:r>
    </w:p>
    <w:p w:rsidR="00000000" w:rsidDel="00000000" w:rsidP="00000000" w:rsidRDefault="00000000" w:rsidRPr="00000000" w14:paraId="00000038">
      <w:pPr>
        <w:shd w:fill="ffffff" w:val="clear"/>
        <w:spacing w:after="360" w:lineRule="auto"/>
        <w:jc w:val="both"/>
        <w:rPr>
          <w:b w:val="1"/>
          <w:color w:val="363b3f"/>
          <w:sz w:val="21"/>
          <w:szCs w:val="21"/>
          <w:u w:val="single"/>
        </w:rPr>
      </w:pPr>
      <w:r w:rsidDel="00000000" w:rsidR="00000000" w:rsidRPr="00000000">
        <w:rPr>
          <w:b w:val="1"/>
          <w:color w:val="363b3f"/>
          <w:sz w:val="21"/>
          <w:szCs w:val="21"/>
          <w:u w:val="single"/>
          <w:rtl w:val="0"/>
        </w:rPr>
        <w:t xml:space="preserve">Formatting</w:t>
      </w:r>
    </w:p>
    <w:p w:rsidR="00000000" w:rsidDel="00000000" w:rsidP="00000000" w:rsidRDefault="00000000" w:rsidRPr="00000000" w14:paraId="00000039">
      <w:pPr>
        <w:numPr>
          <w:ilvl w:val="0"/>
          <w:numId w:val="13"/>
        </w:numPr>
        <w:shd w:fill="ffffff" w:val="clear"/>
        <w:spacing w:after="0" w:afterAutospacing="0" w:lineRule="auto"/>
        <w:ind w:left="720" w:hanging="360"/>
      </w:pPr>
      <w:r w:rsidDel="00000000" w:rsidR="00000000" w:rsidRPr="00000000">
        <w:rPr>
          <w:color w:val="363b3f"/>
          <w:sz w:val="21"/>
          <w:szCs w:val="21"/>
          <w:rtl w:val="0"/>
        </w:rPr>
        <w:t xml:space="preserve">Use upper case for all SQL keywords</w:t>
      </w:r>
    </w:p>
    <w:p w:rsidR="00000000" w:rsidDel="00000000" w:rsidP="00000000" w:rsidRDefault="00000000" w:rsidRPr="00000000" w14:paraId="0000003A">
      <w:pPr>
        <w:numPr>
          <w:ilvl w:val="1"/>
          <w:numId w:val="13"/>
        </w:numPr>
        <w:shd w:fill="ffffff" w:val="clear"/>
        <w:spacing w:after="0" w:afterAutospacing="0" w:before="0" w:beforeAutospacing="0" w:lineRule="auto"/>
        <w:ind w:left="1440" w:hanging="360"/>
      </w:pPr>
      <w:r w:rsidDel="00000000" w:rsidR="00000000" w:rsidRPr="00000000">
        <w:rPr>
          <w:color w:val="363b3f"/>
          <w:sz w:val="21"/>
          <w:szCs w:val="21"/>
          <w:rtl w:val="0"/>
        </w:rPr>
        <w:t xml:space="preserve">SELECT, INSERT, UPDATE, WHERE, AND, OR, LIKE, etc.</w:t>
      </w:r>
    </w:p>
    <w:p w:rsidR="00000000" w:rsidDel="00000000" w:rsidP="00000000" w:rsidRDefault="00000000" w:rsidRPr="00000000" w14:paraId="0000003B">
      <w:pPr>
        <w:numPr>
          <w:ilvl w:val="0"/>
          <w:numId w:val="13"/>
        </w:numPr>
        <w:shd w:fill="ffffff" w:val="clear"/>
        <w:spacing w:after="0" w:afterAutospacing="0" w:lineRule="auto"/>
        <w:ind w:left="720" w:hanging="360"/>
      </w:pPr>
      <w:r w:rsidDel="00000000" w:rsidR="00000000" w:rsidRPr="00000000">
        <w:rPr>
          <w:color w:val="363b3f"/>
          <w:sz w:val="21"/>
          <w:szCs w:val="21"/>
          <w:rtl w:val="0"/>
        </w:rPr>
        <w:t xml:space="preserve">Indent code to improve readability</w:t>
      </w:r>
    </w:p>
    <w:p w:rsidR="00000000" w:rsidDel="00000000" w:rsidP="00000000" w:rsidRDefault="00000000" w:rsidRPr="00000000" w14:paraId="0000003C">
      <w:pPr>
        <w:numPr>
          <w:ilvl w:val="0"/>
          <w:numId w:val="13"/>
        </w:numPr>
        <w:shd w:fill="ffffff" w:val="clear"/>
        <w:spacing w:after="0" w:afterAutospacing="0" w:lineRule="auto"/>
        <w:ind w:left="720" w:hanging="360"/>
      </w:pPr>
      <w:r w:rsidDel="00000000" w:rsidR="00000000" w:rsidRPr="00000000">
        <w:rPr>
          <w:color w:val="363b3f"/>
          <w:sz w:val="21"/>
          <w:szCs w:val="21"/>
          <w:rtl w:val="0"/>
        </w:rPr>
        <w:t xml:space="preserve">Comment code blocks that are not easily understandable</w:t>
      </w:r>
    </w:p>
    <w:p w:rsidR="00000000" w:rsidDel="00000000" w:rsidP="00000000" w:rsidRDefault="00000000" w:rsidRPr="00000000" w14:paraId="0000003D">
      <w:pPr>
        <w:numPr>
          <w:ilvl w:val="1"/>
          <w:numId w:val="13"/>
        </w:numPr>
        <w:shd w:fill="ffffff" w:val="clear"/>
        <w:spacing w:after="0" w:afterAutospacing="0" w:before="0" w:beforeAutospacing="0" w:lineRule="auto"/>
        <w:ind w:left="1440" w:hanging="360"/>
      </w:pPr>
      <w:r w:rsidDel="00000000" w:rsidR="00000000" w:rsidRPr="00000000">
        <w:rPr>
          <w:color w:val="363b3f"/>
          <w:sz w:val="21"/>
          <w:szCs w:val="21"/>
          <w:rtl w:val="0"/>
        </w:rPr>
        <w:t xml:space="preserve">Use single-line comment markers(–)</w:t>
      </w:r>
    </w:p>
    <w:p w:rsidR="00000000" w:rsidDel="00000000" w:rsidP="00000000" w:rsidRDefault="00000000" w:rsidRPr="00000000" w14:paraId="0000003E">
      <w:pPr>
        <w:numPr>
          <w:ilvl w:val="1"/>
          <w:numId w:val="13"/>
        </w:numPr>
        <w:shd w:fill="ffffff" w:val="clear"/>
        <w:spacing w:after="0" w:afterAutospacing="0" w:before="0" w:beforeAutospacing="0" w:lineRule="auto"/>
        <w:ind w:left="1440" w:hanging="360"/>
      </w:pPr>
      <w:r w:rsidDel="00000000" w:rsidR="00000000" w:rsidRPr="00000000">
        <w:rPr>
          <w:color w:val="363b3f"/>
          <w:sz w:val="21"/>
          <w:szCs w:val="21"/>
          <w:rtl w:val="0"/>
        </w:rPr>
        <w:t xml:space="preserve">Reserve multi-line comments (/*.. ..*/) for blocking out sections of code</w:t>
      </w:r>
    </w:p>
    <w:p w:rsidR="00000000" w:rsidDel="00000000" w:rsidP="00000000" w:rsidRDefault="00000000" w:rsidRPr="00000000" w14:paraId="0000003F">
      <w:pPr>
        <w:numPr>
          <w:ilvl w:val="0"/>
          <w:numId w:val="13"/>
        </w:numPr>
        <w:shd w:fill="ffffff" w:val="clear"/>
        <w:spacing w:after="0" w:afterAutospacing="0" w:lineRule="auto"/>
        <w:ind w:left="720" w:hanging="360"/>
      </w:pPr>
      <w:r w:rsidDel="00000000" w:rsidR="00000000" w:rsidRPr="00000000">
        <w:rPr>
          <w:color w:val="363b3f"/>
          <w:sz w:val="21"/>
          <w:szCs w:val="21"/>
          <w:rtl w:val="0"/>
        </w:rPr>
        <w:t xml:space="preserve">Use single quote characters to delimit strings.</w:t>
      </w:r>
    </w:p>
    <w:p w:rsidR="00000000" w:rsidDel="00000000" w:rsidP="00000000" w:rsidRDefault="00000000" w:rsidRPr="00000000" w14:paraId="00000040">
      <w:pPr>
        <w:numPr>
          <w:ilvl w:val="1"/>
          <w:numId w:val="13"/>
        </w:numPr>
        <w:shd w:fill="ffffff" w:val="clear"/>
        <w:spacing w:after="0" w:afterAutospacing="0" w:before="0" w:beforeAutospacing="0" w:lineRule="auto"/>
        <w:ind w:left="1440" w:hanging="360"/>
      </w:pPr>
      <w:r w:rsidDel="00000000" w:rsidR="00000000" w:rsidRPr="00000000">
        <w:rPr>
          <w:color w:val="363b3f"/>
          <w:sz w:val="21"/>
          <w:szCs w:val="21"/>
          <w:rtl w:val="0"/>
        </w:rPr>
        <w:t xml:space="preserve">Nest single quotes to express a single quote or apostrophe within a string</w:t>
      </w:r>
    </w:p>
    <w:p w:rsidR="00000000" w:rsidDel="00000000" w:rsidP="00000000" w:rsidRDefault="00000000" w:rsidRPr="00000000" w14:paraId="00000041">
      <w:pPr>
        <w:numPr>
          <w:ilvl w:val="2"/>
          <w:numId w:val="13"/>
        </w:numPr>
        <w:shd w:fill="ffffff" w:val="clear"/>
        <w:spacing w:after="0" w:afterAutospacing="0" w:before="0" w:beforeAutospacing="0" w:lineRule="auto"/>
        <w:ind w:left="2160" w:hanging="360"/>
      </w:pPr>
      <w:r w:rsidDel="00000000" w:rsidR="00000000" w:rsidRPr="00000000">
        <w:rPr>
          <w:color w:val="363b3f"/>
          <w:sz w:val="21"/>
          <w:szCs w:val="21"/>
          <w:rtl w:val="0"/>
        </w:rPr>
        <w:t xml:space="preserve">For example, SET @sExample = ‘SQL”s Authority’</w:t>
      </w:r>
    </w:p>
    <w:p w:rsidR="00000000" w:rsidDel="00000000" w:rsidP="00000000" w:rsidRDefault="00000000" w:rsidRPr="00000000" w14:paraId="00000042">
      <w:pPr>
        <w:numPr>
          <w:ilvl w:val="0"/>
          <w:numId w:val="13"/>
        </w:numPr>
        <w:shd w:fill="ffffff" w:val="clear"/>
        <w:spacing w:after="0" w:afterAutospacing="0" w:lineRule="auto"/>
        <w:ind w:left="720" w:hanging="360"/>
      </w:pPr>
      <w:r w:rsidDel="00000000" w:rsidR="00000000" w:rsidRPr="00000000">
        <w:rPr>
          <w:color w:val="363b3f"/>
          <w:sz w:val="21"/>
          <w:szCs w:val="21"/>
          <w:rtl w:val="0"/>
        </w:rPr>
        <w:t xml:space="preserve">Use parentheses to increase readability</w:t>
      </w:r>
    </w:p>
    <w:p w:rsidR="00000000" w:rsidDel="00000000" w:rsidP="00000000" w:rsidRDefault="00000000" w:rsidRPr="00000000" w14:paraId="00000043">
      <w:pPr>
        <w:numPr>
          <w:ilvl w:val="1"/>
          <w:numId w:val="13"/>
        </w:numPr>
        <w:shd w:fill="ffffff" w:val="clear"/>
        <w:spacing w:after="0" w:afterAutospacing="0" w:before="0" w:beforeAutospacing="0" w:lineRule="auto"/>
        <w:ind w:left="1440" w:hanging="360"/>
      </w:pPr>
      <w:r w:rsidDel="00000000" w:rsidR="00000000" w:rsidRPr="00000000">
        <w:rPr>
          <w:color w:val="363b3f"/>
          <w:sz w:val="21"/>
          <w:szCs w:val="21"/>
          <w:rtl w:val="0"/>
        </w:rPr>
        <w:t xml:space="preserve">WHERE (color=’red’ AND (size = 1 OR size = 2))</w:t>
      </w:r>
    </w:p>
    <w:p w:rsidR="00000000" w:rsidDel="00000000" w:rsidP="00000000" w:rsidRDefault="00000000" w:rsidRPr="00000000" w14:paraId="00000044">
      <w:pPr>
        <w:numPr>
          <w:ilvl w:val="0"/>
          <w:numId w:val="13"/>
        </w:numPr>
        <w:shd w:fill="ffffff" w:val="clear"/>
        <w:spacing w:after="0" w:afterAutospacing="0" w:lineRule="auto"/>
        <w:ind w:left="720" w:hanging="360"/>
      </w:pPr>
      <w:r w:rsidDel="00000000" w:rsidR="00000000" w:rsidRPr="00000000">
        <w:rPr>
          <w:color w:val="363b3f"/>
          <w:sz w:val="21"/>
          <w:szCs w:val="21"/>
          <w:rtl w:val="0"/>
        </w:rPr>
        <w:t xml:space="preserve">Use BEGIN..END blocks only when multiple statements are present within a conditional code segment.</w:t>
      </w:r>
    </w:p>
    <w:p w:rsidR="00000000" w:rsidDel="00000000" w:rsidP="00000000" w:rsidRDefault="00000000" w:rsidRPr="00000000" w14:paraId="00000045">
      <w:pPr>
        <w:numPr>
          <w:ilvl w:val="0"/>
          <w:numId w:val="13"/>
        </w:numPr>
        <w:shd w:fill="ffffff" w:val="clear"/>
        <w:spacing w:after="0" w:afterAutospacing="0" w:lineRule="auto"/>
        <w:ind w:left="720" w:hanging="360"/>
      </w:pPr>
      <w:r w:rsidDel="00000000" w:rsidR="00000000" w:rsidRPr="00000000">
        <w:rPr>
          <w:color w:val="363b3f"/>
          <w:sz w:val="21"/>
          <w:szCs w:val="21"/>
          <w:rtl w:val="0"/>
        </w:rPr>
        <w:t xml:space="preserve">Use one blank line to separate code sections.</w:t>
      </w:r>
    </w:p>
    <w:p w:rsidR="00000000" w:rsidDel="00000000" w:rsidP="00000000" w:rsidRDefault="00000000" w:rsidRPr="00000000" w14:paraId="00000046">
      <w:pPr>
        <w:numPr>
          <w:ilvl w:val="0"/>
          <w:numId w:val="13"/>
        </w:numPr>
        <w:shd w:fill="ffffff" w:val="clear"/>
        <w:spacing w:after="0" w:afterAutospacing="0" w:lineRule="auto"/>
        <w:ind w:left="720" w:hanging="360"/>
      </w:pPr>
      <w:r w:rsidDel="00000000" w:rsidR="00000000" w:rsidRPr="00000000">
        <w:rPr>
          <w:color w:val="363b3f"/>
          <w:sz w:val="21"/>
          <w:szCs w:val="21"/>
          <w:rtl w:val="0"/>
        </w:rPr>
        <w:t xml:space="preserve">Use spaces so that expressions read like sentences.</w:t>
      </w:r>
    </w:p>
    <w:p w:rsidR="00000000" w:rsidDel="00000000" w:rsidP="00000000" w:rsidRDefault="00000000" w:rsidRPr="00000000" w14:paraId="00000047">
      <w:pPr>
        <w:numPr>
          <w:ilvl w:val="1"/>
          <w:numId w:val="13"/>
        </w:numPr>
        <w:shd w:fill="ffffff" w:val="clear"/>
        <w:spacing w:after="0" w:afterAutospacing="0" w:before="0" w:beforeAutospacing="0" w:lineRule="auto"/>
        <w:ind w:left="1440" w:hanging="360"/>
      </w:pPr>
      <w:r w:rsidDel="00000000" w:rsidR="00000000" w:rsidRPr="00000000">
        <w:rPr>
          <w:color w:val="363b3f"/>
          <w:sz w:val="21"/>
          <w:szCs w:val="21"/>
          <w:rtl w:val="0"/>
        </w:rPr>
        <w:t xml:space="preserve">fillfactor = 25, not fillfactor=25</w:t>
      </w:r>
    </w:p>
    <w:p w:rsidR="00000000" w:rsidDel="00000000" w:rsidP="00000000" w:rsidRDefault="00000000" w:rsidRPr="00000000" w14:paraId="00000048">
      <w:pPr>
        <w:numPr>
          <w:ilvl w:val="0"/>
          <w:numId w:val="13"/>
        </w:numPr>
        <w:shd w:fill="ffffff" w:val="clear"/>
        <w:spacing w:after="0" w:afterAutospacing="0" w:lineRule="auto"/>
        <w:ind w:left="720" w:hanging="360"/>
      </w:pPr>
      <w:r w:rsidDel="00000000" w:rsidR="00000000" w:rsidRPr="00000000">
        <w:rPr>
          <w:color w:val="363b3f"/>
          <w:sz w:val="21"/>
          <w:szCs w:val="21"/>
          <w:rtl w:val="0"/>
        </w:rPr>
        <w:t xml:space="preserve">Format JOIN operations using indents</w:t>
      </w:r>
    </w:p>
    <w:p w:rsidR="00000000" w:rsidDel="00000000" w:rsidP="00000000" w:rsidRDefault="00000000" w:rsidRPr="00000000" w14:paraId="00000049">
      <w:pPr>
        <w:numPr>
          <w:ilvl w:val="1"/>
          <w:numId w:val="13"/>
        </w:numPr>
        <w:shd w:fill="ffffff" w:val="clear"/>
        <w:spacing w:after="0" w:afterAutospacing="0" w:before="0" w:beforeAutospacing="0" w:lineRule="auto"/>
        <w:ind w:left="1440" w:hanging="360"/>
      </w:pPr>
      <w:r w:rsidDel="00000000" w:rsidR="00000000" w:rsidRPr="00000000">
        <w:rPr>
          <w:color w:val="363b3f"/>
          <w:sz w:val="21"/>
          <w:szCs w:val="21"/>
          <w:rtl w:val="0"/>
        </w:rPr>
        <w:t xml:space="preserve">Also, use ANSI Joins instead of old style joins</w:t>
      </w:r>
      <w:r w:rsidDel="00000000" w:rsidR="00000000" w:rsidRPr="00000000">
        <w:rPr>
          <w:color w:val="363b3f"/>
          <w:sz w:val="16"/>
          <w:szCs w:val="16"/>
          <w:rtl w:val="0"/>
        </w:rPr>
        <w:t xml:space="preserve">4</w:t>
      </w:r>
    </w:p>
    <w:p w:rsidR="00000000" w:rsidDel="00000000" w:rsidP="00000000" w:rsidRDefault="00000000" w:rsidRPr="00000000" w14:paraId="0000004A">
      <w:pPr>
        <w:numPr>
          <w:ilvl w:val="0"/>
          <w:numId w:val="13"/>
        </w:numPr>
        <w:shd w:fill="ffffff" w:val="clear"/>
        <w:spacing w:after="360" w:lineRule="auto"/>
        <w:ind w:left="720" w:hanging="360"/>
      </w:pPr>
      <w:r w:rsidDel="00000000" w:rsidR="00000000" w:rsidRPr="00000000">
        <w:rPr>
          <w:color w:val="363b3f"/>
          <w:sz w:val="21"/>
          <w:szCs w:val="21"/>
          <w:rtl w:val="0"/>
        </w:rPr>
        <w:t xml:space="preserve">Place SET statements before any executing code in the procedure.</w:t>
      </w:r>
    </w:p>
    <w:p w:rsidR="00000000" w:rsidDel="00000000" w:rsidP="00000000" w:rsidRDefault="00000000" w:rsidRPr="00000000" w14:paraId="0000004B">
      <w:pPr>
        <w:shd w:fill="ffffff" w:val="clear"/>
        <w:spacing w:after="360" w:lineRule="auto"/>
        <w:jc w:val="both"/>
        <w:rPr>
          <w:b w:val="1"/>
          <w:color w:val="363b3f"/>
          <w:sz w:val="21"/>
          <w:szCs w:val="21"/>
        </w:rPr>
      </w:pPr>
      <w:r w:rsidDel="00000000" w:rsidR="00000000" w:rsidRPr="00000000">
        <w:rPr>
          <w:b w:val="1"/>
          <w:color w:val="363b3f"/>
          <w:sz w:val="21"/>
          <w:szCs w:val="21"/>
          <w:rtl w:val="0"/>
        </w:rPr>
        <w:t xml:space="preserve">Reference:</w:t>
      </w:r>
    </w:p>
    <w:p w:rsidR="00000000" w:rsidDel="00000000" w:rsidP="00000000" w:rsidRDefault="00000000" w:rsidRPr="00000000" w14:paraId="0000004C">
      <w:pPr>
        <w:shd w:fill="ffffff" w:val="clear"/>
        <w:spacing w:after="360" w:lineRule="auto"/>
        <w:jc w:val="both"/>
        <w:rPr>
          <w:color w:val="363b3f"/>
          <w:sz w:val="21"/>
          <w:szCs w:val="21"/>
        </w:rPr>
      </w:pPr>
      <w:r w:rsidDel="00000000" w:rsidR="00000000" w:rsidRPr="00000000">
        <w:rPr>
          <w:color w:val="363b3f"/>
          <w:sz w:val="21"/>
          <w:szCs w:val="21"/>
          <w:rtl w:val="0"/>
        </w:rPr>
        <w:t xml:space="preserve">1) Group related table names:</w:t>
      </w:r>
    </w:p>
    <w:p w:rsidR="00000000" w:rsidDel="00000000" w:rsidP="00000000" w:rsidRDefault="00000000" w:rsidRPr="00000000" w14:paraId="0000004D">
      <w:pPr>
        <w:shd w:fill="ffffff" w:val="clear"/>
        <w:spacing w:after="360" w:lineRule="auto"/>
        <w:jc w:val="both"/>
        <w:rPr>
          <w:color w:val="363b3f"/>
          <w:sz w:val="21"/>
          <w:szCs w:val="21"/>
        </w:rPr>
      </w:pPr>
      <w:r w:rsidDel="00000000" w:rsidR="00000000" w:rsidRPr="00000000">
        <w:rPr>
          <w:color w:val="363b3f"/>
          <w:sz w:val="21"/>
          <w:szCs w:val="21"/>
          <w:rtl w:val="0"/>
        </w:rPr>
        <w:t xml:space="preserve">Products_USA</w:t>
      </w:r>
    </w:p>
    <w:p w:rsidR="00000000" w:rsidDel="00000000" w:rsidP="00000000" w:rsidRDefault="00000000" w:rsidRPr="00000000" w14:paraId="0000004E">
      <w:pPr>
        <w:shd w:fill="ffffff" w:val="clear"/>
        <w:spacing w:after="360" w:lineRule="auto"/>
        <w:jc w:val="both"/>
        <w:rPr>
          <w:color w:val="363b3f"/>
          <w:sz w:val="21"/>
          <w:szCs w:val="21"/>
        </w:rPr>
      </w:pPr>
      <w:r w:rsidDel="00000000" w:rsidR="00000000" w:rsidRPr="00000000">
        <w:rPr>
          <w:color w:val="363b3f"/>
          <w:sz w:val="21"/>
          <w:szCs w:val="21"/>
          <w:rtl w:val="0"/>
        </w:rPr>
        <w:t xml:space="preserve">Products_India</w:t>
      </w:r>
    </w:p>
    <w:p w:rsidR="00000000" w:rsidDel="00000000" w:rsidP="00000000" w:rsidRDefault="00000000" w:rsidRPr="00000000" w14:paraId="0000004F">
      <w:pPr>
        <w:shd w:fill="ffffff" w:val="clear"/>
        <w:spacing w:after="360" w:lineRule="auto"/>
        <w:jc w:val="both"/>
        <w:rPr>
          <w:color w:val="363b3f"/>
          <w:sz w:val="21"/>
          <w:szCs w:val="21"/>
        </w:rPr>
      </w:pPr>
      <w:r w:rsidDel="00000000" w:rsidR="00000000" w:rsidRPr="00000000">
        <w:rPr>
          <w:color w:val="363b3f"/>
          <w:sz w:val="21"/>
          <w:szCs w:val="21"/>
          <w:rtl w:val="0"/>
        </w:rPr>
        <w:t xml:space="preserve">Products_Mexico</w:t>
      </w:r>
    </w:p>
    <w:p w:rsidR="00000000" w:rsidDel="00000000" w:rsidP="00000000" w:rsidRDefault="00000000" w:rsidRPr="00000000" w14:paraId="00000050">
      <w:pPr>
        <w:shd w:fill="ffffff" w:val="clear"/>
        <w:spacing w:after="360" w:lineRule="auto"/>
        <w:jc w:val="both"/>
        <w:rPr>
          <w:color w:val="363b3f"/>
          <w:sz w:val="21"/>
          <w:szCs w:val="21"/>
        </w:rPr>
      </w:pPr>
      <w:r w:rsidDel="00000000" w:rsidR="00000000" w:rsidRPr="00000000">
        <w:rPr>
          <w:color w:val="363b3f"/>
          <w:sz w:val="21"/>
          <w:szCs w:val="21"/>
          <w:rtl w:val="0"/>
        </w:rPr>
        <w:t xml:space="preserve">2) The prefix sp_ is reserved for system stored procedures that ship with SQL Server. Whenever SQL Server encounters a procedure name starting with sp_, it first tries to locate the procedure in the master database, then it looks for any qualifiers (database, owner) provided, then it tries dbo as the owner. Time spent locating the stored procedure can be saved by avoiding the “sp_” prefix.</w:t>
      </w:r>
    </w:p>
    <w:p w:rsidR="00000000" w:rsidDel="00000000" w:rsidP="00000000" w:rsidRDefault="00000000" w:rsidRPr="00000000" w14:paraId="00000051">
      <w:pPr>
        <w:shd w:fill="ffffff" w:val="clear"/>
        <w:spacing w:after="360" w:lineRule="auto"/>
        <w:jc w:val="both"/>
        <w:rPr>
          <w:color w:val="363b3f"/>
          <w:sz w:val="21"/>
          <w:szCs w:val="21"/>
        </w:rPr>
      </w:pPr>
      <w:r w:rsidDel="00000000" w:rsidR="00000000" w:rsidRPr="00000000">
        <w:rPr>
          <w:color w:val="363b3f"/>
          <w:sz w:val="21"/>
          <w:szCs w:val="21"/>
          <w:rtl w:val="0"/>
        </w:rPr>
        <w:t xml:space="preserve">3) This improves readability and avoids unnecessary confusion. Microsoft SQL Server Books Online states that qualifying table names with owner names helps in execution plan reuse, further boosting performance.</w:t>
      </w:r>
    </w:p>
    <w:p w:rsidR="00000000" w:rsidDel="00000000" w:rsidP="00000000" w:rsidRDefault="00000000" w:rsidRPr="00000000" w14:paraId="00000052">
      <w:pPr>
        <w:shd w:fill="ffffff" w:val="clear"/>
        <w:spacing w:after="360" w:lineRule="auto"/>
        <w:jc w:val="both"/>
        <w:rPr>
          <w:color w:val="363b3f"/>
          <w:sz w:val="21"/>
          <w:szCs w:val="21"/>
        </w:rPr>
      </w:pPr>
      <w:r w:rsidDel="00000000" w:rsidR="00000000" w:rsidRPr="00000000">
        <w:rPr>
          <w:color w:val="363b3f"/>
          <w:sz w:val="21"/>
          <w:szCs w:val="21"/>
          <w:rtl w:val="0"/>
        </w:rPr>
        <w:t xml:space="preserve">4)</w:t>
      </w:r>
    </w:p>
    <w:p w:rsidR="00000000" w:rsidDel="00000000" w:rsidP="00000000" w:rsidRDefault="00000000" w:rsidRPr="00000000" w14:paraId="00000053">
      <w:pPr>
        <w:shd w:fill="ffffff" w:val="clear"/>
        <w:spacing w:after="360" w:lineRule="auto"/>
        <w:jc w:val="both"/>
        <w:rPr>
          <w:i w:val="1"/>
          <w:color w:val="363b3f"/>
          <w:sz w:val="21"/>
          <w:szCs w:val="21"/>
        </w:rPr>
      </w:pPr>
      <w:r w:rsidDel="00000000" w:rsidR="00000000" w:rsidRPr="00000000">
        <w:rPr>
          <w:i w:val="1"/>
          <w:color w:val="363b3f"/>
          <w:sz w:val="21"/>
          <w:szCs w:val="21"/>
          <w:rtl w:val="0"/>
        </w:rPr>
        <w:t xml:space="preserve">False code:</w:t>
      </w:r>
    </w:p>
    <w:p w:rsidR="00000000" w:rsidDel="00000000" w:rsidP="00000000" w:rsidRDefault="00000000" w:rsidRPr="00000000" w14:paraId="00000054">
      <w:pPr>
        <w:shd w:fill="ffffff" w:val="clear"/>
        <w:spacing w:after="360" w:lineRule="auto"/>
        <w:jc w:val="both"/>
        <w:rPr>
          <w:color w:val="363b3f"/>
          <w:sz w:val="21"/>
          <w:szCs w:val="21"/>
        </w:rPr>
      </w:pPr>
      <w:r w:rsidDel="00000000" w:rsidR="00000000" w:rsidRPr="00000000">
        <w:rPr>
          <w:color w:val="363b3f"/>
          <w:sz w:val="21"/>
          <w:szCs w:val="21"/>
          <w:rtl w:val="0"/>
        </w:rPr>
        <w:t xml:space="preserve">SELECT *</w:t>
      </w:r>
    </w:p>
    <w:p w:rsidR="00000000" w:rsidDel="00000000" w:rsidP="00000000" w:rsidRDefault="00000000" w:rsidRPr="00000000" w14:paraId="00000055">
      <w:pPr>
        <w:shd w:fill="ffffff" w:val="clear"/>
        <w:spacing w:after="360" w:lineRule="auto"/>
        <w:jc w:val="both"/>
        <w:rPr>
          <w:color w:val="363b3f"/>
          <w:sz w:val="21"/>
          <w:szCs w:val="21"/>
        </w:rPr>
      </w:pPr>
      <w:r w:rsidDel="00000000" w:rsidR="00000000" w:rsidRPr="00000000">
        <w:rPr>
          <w:color w:val="363b3f"/>
          <w:sz w:val="21"/>
          <w:szCs w:val="21"/>
          <w:rtl w:val="0"/>
        </w:rPr>
        <w:t xml:space="preserve">FROM Table1, Table2</w:t>
      </w:r>
    </w:p>
    <w:p w:rsidR="00000000" w:rsidDel="00000000" w:rsidP="00000000" w:rsidRDefault="00000000" w:rsidRPr="00000000" w14:paraId="00000056">
      <w:pPr>
        <w:shd w:fill="ffffff" w:val="clear"/>
        <w:spacing w:after="360" w:lineRule="auto"/>
        <w:jc w:val="both"/>
        <w:rPr>
          <w:color w:val="363b3f"/>
          <w:sz w:val="21"/>
          <w:szCs w:val="21"/>
        </w:rPr>
      </w:pPr>
      <w:r w:rsidDel="00000000" w:rsidR="00000000" w:rsidRPr="00000000">
        <w:rPr>
          <w:color w:val="363b3f"/>
          <w:sz w:val="21"/>
          <w:szCs w:val="21"/>
          <w:rtl w:val="0"/>
        </w:rPr>
        <w:t xml:space="preserve">WHERE Table1.d = Table2.c</w:t>
      </w:r>
    </w:p>
    <w:p w:rsidR="00000000" w:rsidDel="00000000" w:rsidP="00000000" w:rsidRDefault="00000000" w:rsidRPr="00000000" w14:paraId="00000057">
      <w:pPr>
        <w:shd w:fill="ffffff" w:val="clear"/>
        <w:spacing w:after="360" w:lineRule="auto"/>
        <w:jc w:val="both"/>
        <w:rPr>
          <w:i w:val="1"/>
          <w:color w:val="363b3f"/>
          <w:sz w:val="21"/>
          <w:szCs w:val="21"/>
        </w:rPr>
      </w:pPr>
      <w:r w:rsidDel="00000000" w:rsidR="00000000" w:rsidRPr="00000000">
        <w:rPr>
          <w:i w:val="1"/>
          <w:color w:val="363b3f"/>
          <w:sz w:val="21"/>
          <w:szCs w:val="21"/>
          <w:rtl w:val="0"/>
        </w:rPr>
        <w:t xml:space="preserve">True code:</w:t>
      </w:r>
    </w:p>
    <w:p w:rsidR="00000000" w:rsidDel="00000000" w:rsidP="00000000" w:rsidRDefault="00000000" w:rsidRPr="00000000" w14:paraId="00000058">
      <w:pPr>
        <w:shd w:fill="ffffff" w:val="clear"/>
        <w:spacing w:after="360" w:lineRule="auto"/>
        <w:jc w:val="both"/>
        <w:rPr>
          <w:color w:val="363b3f"/>
          <w:sz w:val="21"/>
          <w:szCs w:val="21"/>
        </w:rPr>
      </w:pPr>
      <w:r w:rsidDel="00000000" w:rsidR="00000000" w:rsidRPr="00000000">
        <w:rPr>
          <w:color w:val="363b3f"/>
          <w:sz w:val="21"/>
          <w:szCs w:val="21"/>
          <w:rtl w:val="0"/>
        </w:rPr>
        <w:t xml:space="preserve">SELECT *</w:t>
      </w:r>
    </w:p>
    <w:p w:rsidR="00000000" w:rsidDel="00000000" w:rsidP="00000000" w:rsidRDefault="00000000" w:rsidRPr="00000000" w14:paraId="00000059">
      <w:pPr>
        <w:shd w:fill="ffffff" w:val="clear"/>
        <w:spacing w:after="360" w:lineRule="auto"/>
        <w:jc w:val="both"/>
        <w:rPr>
          <w:color w:val="363b3f"/>
          <w:sz w:val="21"/>
          <w:szCs w:val="21"/>
        </w:rPr>
      </w:pPr>
      <w:r w:rsidDel="00000000" w:rsidR="00000000" w:rsidRPr="00000000">
        <w:rPr>
          <w:color w:val="363b3f"/>
          <w:sz w:val="21"/>
          <w:szCs w:val="21"/>
          <w:rtl w:val="0"/>
        </w:rPr>
        <w:t xml:space="preserve">FROM Table1</w:t>
      </w:r>
    </w:p>
    <w:p w:rsidR="00000000" w:rsidDel="00000000" w:rsidP="00000000" w:rsidRDefault="00000000" w:rsidRPr="00000000" w14:paraId="0000005A">
      <w:pPr>
        <w:shd w:fill="ffffff" w:val="clear"/>
        <w:spacing w:after="360" w:lineRule="auto"/>
        <w:jc w:val="both"/>
        <w:rPr>
          <w:color w:val="363b3f"/>
          <w:sz w:val="21"/>
          <w:szCs w:val="21"/>
        </w:rPr>
      </w:pPr>
      <w:r w:rsidDel="00000000" w:rsidR="00000000" w:rsidRPr="00000000">
        <w:rPr>
          <w:color w:val="363b3f"/>
          <w:sz w:val="21"/>
          <w:szCs w:val="21"/>
          <w:rtl w:val="0"/>
        </w:rPr>
        <w:t xml:space="preserve">INNER JOIN Table2 ON Table1.d = Table2.c</w:t>
      </w:r>
    </w:p>
    <w:p w:rsidR="00000000" w:rsidDel="00000000" w:rsidP="00000000" w:rsidRDefault="00000000" w:rsidRPr="00000000" w14:paraId="0000005B">
      <w:pPr>
        <w:shd w:fill="ffffff" w:val="clear"/>
        <w:spacing w:after="360" w:lineRule="auto"/>
        <w:jc w:val="both"/>
        <w:rPr>
          <w:b w:val="1"/>
          <w:color w:val="363b3f"/>
          <w:sz w:val="21"/>
          <w:szCs w:val="21"/>
          <w:u w:val="singl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63b3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63b3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63b3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63b3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63b3f"/>
        <w:sz w:val="21"/>
        <w:szCs w:val="21"/>
        <w:u w:val="none"/>
      </w:rPr>
    </w:lvl>
    <w:lvl w:ilvl="1">
      <w:start w:val="1"/>
      <w:numFmt w:val="bullet"/>
      <w:lvlText w:val="○"/>
      <w:lvlJc w:val="left"/>
      <w:pPr>
        <w:ind w:left="1440" w:hanging="360"/>
      </w:pPr>
      <w:rPr>
        <w:rFonts w:ascii="Arial" w:cs="Arial" w:eastAsia="Arial" w:hAnsi="Arial"/>
        <w:color w:val="363b3f"/>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63b3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63b3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63b3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63b3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63b3f"/>
        <w:sz w:val="21"/>
        <w:szCs w:val="21"/>
        <w:u w:val="none"/>
      </w:rPr>
    </w:lvl>
    <w:lvl w:ilvl="1">
      <w:start w:val="1"/>
      <w:numFmt w:val="bullet"/>
      <w:lvlText w:val="○"/>
      <w:lvlJc w:val="left"/>
      <w:pPr>
        <w:ind w:left="1440" w:hanging="360"/>
      </w:pPr>
      <w:rPr>
        <w:rFonts w:ascii="Arial" w:cs="Arial" w:eastAsia="Arial" w:hAnsi="Arial"/>
        <w:color w:val="363b3f"/>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63b3f"/>
        <w:sz w:val="21"/>
        <w:szCs w:val="21"/>
        <w:u w:val="none"/>
      </w:rPr>
    </w:lvl>
    <w:lvl w:ilvl="1">
      <w:start w:val="1"/>
      <w:numFmt w:val="bullet"/>
      <w:lvlText w:val="○"/>
      <w:lvlJc w:val="left"/>
      <w:pPr>
        <w:ind w:left="1440" w:hanging="360"/>
      </w:pPr>
      <w:rPr>
        <w:rFonts w:ascii="Arial" w:cs="Arial" w:eastAsia="Arial" w:hAnsi="Arial"/>
        <w:color w:val="363b3f"/>
        <w:sz w:val="21"/>
        <w:szCs w:val="21"/>
        <w:u w:val="none"/>
      </w:rPr>
    </w:lvl>
    <w:lvl w:ilvl="2">
      <w:start w:val="1"/>
      <w:numFmt w:val="bullet"/>
      <w:lvlText w:val="■"/>
      <w:lvlJc w:val="left"/>
      <w:pPr>
        <w:ind w:left="2160" w:hanging="360"/>
      </w:pPr>
      <w:rPr>
        <w:rFonts w:ascii="Arial" w:cs="Arial" w:eastAsia="Arial" w:hAnsi="Arial"/>
        <w:color w:val="363b3f"/>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