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Coding/Standards &amp;  Project Expectations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Javascript standards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meaningful and pronounceable variable names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same vocabulary for the same type of variable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Functions should do one thing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arguments (2 or fewer ideally)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names should say what they 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Functions should only be one level of abstraction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duplicate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default arguments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Avoid negative conditionals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Remove dead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Avoid Side Effects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Standards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Start with DOCTYPE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Put white spaces around comment contents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Don’t mix quotation marks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Omit boolean attribute value ( no need to explicitly enter value for boolean type attribute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title attribute to alternate stylesheets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Write one list item per line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Avoid div element as much as possible ( use article, section, etc,..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Don’t use br element only for presentational purpose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Write one cell per line ( tabulear Data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Wrap form control with label element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Omit for attribute if possible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appropriate type attribute for input element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title attribute to input element when there is pattern attribute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CSS Standards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Your HTML First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Make it Readable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Combine Elements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Multiple Classes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Shorthand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Comment your CSS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 CSS Vendor Prefixed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Difference Between Block vs. Inline Elements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of Generic Classes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Avoid Extra Selectors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Add Margins and Padding to All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