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pPr>
    </w:p>
    <w:p>
      <w:pPr>
        <w:jc w:val="center"/>
      </w:pPr>
      <w:r>
        <w:rPr>
          <w:rFonts w:ascii="Calibri" w:cs="Calibri" w:eastAsia="Calibri" w:hAnsi="Calibri"/>
          <w:b/>
          <w:bCs/>
          <w:sz w:val="26"/>
          <w:szCs w:val="26"/>
        </w:rPr>
        <w:t xml:space="preserve">PONTIFÍCIA UNIVERSIDADE CATÓLICA DE GOIÁS</w:t>
      </w:r>
    </w:p>
    <w:p>
      <w:pPr>
        <w:jc w:val="center"/>
      </w:pPr>
      <w:r>
        <w:rPr>
          <w:rFonts w:ascii="Calibri" w:cs="Calibri" w:eastAsia="Calibri" w:hAnsi="Calibri"/>
          <w:b/>
          <w:bCs/>
          <w:sz w:val="24"/>
          <w:szCs w:val="24"/>
        </w:rPr>
        <w:t xml:space="preserve">COORDENAÇÃO ENSINO A DISTÂNCIA – CEAD</w:t>
      </w:r>
    </w:p>
    <w:p>
      <w:pPr>
        <w:jc w:val="center"/>
      </w:pPr>
      <w:r>
        <w:rPr>
          <w:rFonts w:ascii="Calibri" w:cs="Calibri" w:eastAsia="Calibri" w:hAnsi="Calibri"/>
          <w:b/>
          <w:bCs/>
          <w:sz w:val="24"/>
          <w:szCs w:val="24"/>
        </w:rPr>
        <w:t xml:space="preserve">ESCOLA POLITÉCNICA E DE ARTES</w:t>
      </w:r>
    </w:p>
    <w:p>
      <w:pPr>
        <w:spacing w:after="1200"/>
        <w:jc w:val="center"/>
      </w:pPr>
      <w:r>
        <w:rPr>
          <w:rFonts w:ascii="Calibri" w:cs="Calibri" w:eastAsia="Calibri" w:hAnsi="Calibri"/>
          <w:b/>
          <w:bCs/>
          <w:sz w:val="24"/>
          <w:szCs w:val="24"/>
        </w:rPr>
        <w:t xml:space="preserve">BIG DATA E INTELIGÊNCIA ARTIFICIAL</w:t>
      </w:r>
    </w:p>
    <w:p>
      <w:pPr>
        <w:spacing w:after="100"/>
        <w:jc w:val="center"/>
      </w:pPr>
      <w:r>
        <w:rPr>
          <w:rFonts w:ascii="Calibri" w:cs="Calibri" w:eastAsia="Calibri" w:hAnsi="Calibri"/>
          <w:b/>
          <w:bCs/>
          <w:sz w:val="30"/>
          <w:szCs w:val="30"/>
        </w:rPr>
        <w:t xml:space="preserve">PROJETO INTEGRADOR V-A</w:t>
      </w:r>
    </w:p>
    <w:p>
      <w:pPr>
        <w:spacing w:after="800"/>
        <w:jc w:val="center"/>
      </w:pPr>
      <w:r>
        <w:rPr>
          <w:rFonts w:ascii="Calibri" w:cs="Calibri" w:eastAsia="Calibri" w:hAnsi="Calibri"/>
          <w:b/>
          <w:bCs/>
          <w:sz w:val="30"/>
          <w:szCs w:val="30"/>
        </w:rPr>
        <w:t xml:space="preserve">RELATÓRIO TÉCNICO</w:t>
      </w:r>
    </w:p>
    <w:p>
      <w:pPr>
        <w:spacing w:after="1200"/>
        <w:jc w:val="center"/>
      </w:pPr>
      <w:r>
        <w:rPr>
          <w:rFonts w:ascii="Calibri" w:cs="Calibri" w:eastAsia="Calibri" w:hAnsi="Calibri"/>
          <w:i/>
          <w:iCs/>
          <w:sz w:val="24"/>
          <w:szCs w:val="24"/>
        </w:rPr>
        <w:t xml:space="preserve">Diagnóstico de Indicadores de Retenção e Relacionamento com Clientes: uma Ferramenta Comparativa de Benchmarks de Mercado para a Databurgo Brasil Tecnologia</w:t>
      </w:r>
    </w:p>
    <w:p>
      <w:pPr>
        <w:jc w:val="center"/>
      </w:pPr>
      <w:r>
        <w:rPr>
          <w:rFonts w:ascii="Calibri" w:cs="Calibri" w:eastAsia="Calibri" w:hAnsi="Calibri"/>
          <w:sz w:val="22"/>
          <w:szCs w:val="22"/>
        </w:rPr>
        <w:t xml:space="preserve">Giancarlo Neves da Cruz</w:t>
      </w:r>
    </w:p>
    <w:p>
      <w:pPr>
        <w:spacing w:after="600"/>
        <w:jc w:val="center"/>
      </w:pPr>
      <w:r>
        <w:rPr>
          <w:rFonts w:ascii="Calibri" w:cs="Calibri" w:eastAsia="Calibri" w:hAnsi="Calibri"/>
          <w:sz w:val="22"/>
          <w:szCs w:val="22"/>
        </w:rPr>
        <w:t xml:space="preserve">Matrícula: 2025 2.0792.0007-3</w:t>
      </w:r>
    </w:p>
    <w:p>
      <w:pPr>
        <w:jc w:val="center"/>
      </w:pPr>
      <w:r>
        <w:rPr>
          <w:rFonts w:ascii="Calibri" w:cs="Calibri" w:eastAsia="Calibri" w:hAnsi="Calibri"/>
          <w:sz w:val="22"/>
          <w:szCs w:val="22"/>
        </w:rPr>
        <w:t xml:space="preserve">Organização parceira: Databurgo Brasil Tecnologia LTDA</w:t>
      </w:r>
    </w:p>
    <w:p>
      <w:pPr>
        <w:spacing w:after="1600"/>
        <w:jc w:val="center"/>
      </w:pPr>
      <w:r>
        <w:rPr>
          <w:rFonts w:ascii="Calibri" w:cs="Calibri" w:eastAsia="Calibri" w:hAnsi="Calibri"/>
          <w:sz w:val="22"/>
          <w:szCs w:val="22"/>
        </w:rPr>
        <w:t xml:space="preserve">Professor: Thalles Bruno Gonçalves Nery dos Santos</w:t>
      </w:r>
    </w:p>
    <w:p>
      <w:pPr>
        <w:jc w:val="center"/>
      </w:pPr>
      <w:r>
        <w:rPr>
          <w:rFonts w:ascii="Calibri" w:cs="Calibri" w:eastAsia="Calibri" w:hAnsi="Calibri"/>
          <w:b/>
          <w:bCs/>
          <w:sz w:val="22"/>
          <w:szCs w:val="22"/>
        </w:rPr>
        <w:t xml:space="preserve">GOIÂNIA, 2026</w:t>
      </w:r>
    </w:p>
    <w:p>
      <w:r>
        <w:br w:type="page"/>
      </w:r>
    </w:p>
    <w:p>
      <w:pPr>
        <w:sectPr>
          <w:pgSz w:w="11906" w:h="16838" w:orient="portrait"/>
          <w:pgMar w:top="1440" w:right="1440" w:bottom="1440" w:left="1440" w:header="708" w:footer="708" w:gutter="0"/>
          <w:pgNumType/>
          <w:docGrid w:linePitch="360"/>
        </w:sectPr>
      </w:pPr>
    </w:p>
    <w:p>
      <w:pPr>
        <w:pStyle w:val="Heading1"/>
        <w:spacing w:after="200" w:before="400"/>
      </w:pPr>
      <w:r>
        <w:t xml:space="preserve">1. Identificação e Contextualização da Organização Parceira</w:t>
      </w:r>
    </w:p>
    <w:p>
      <w:pPr>
        <w:spacing w:after="200" w:line="276"/>
        <w:jc w:val="both"/>
      </w:pPr>
      <w:r>
        <w:rPr>
          <w:rFonts w:ascii="Calibri" w:cs="Calibri" w:eastAsia="Calibri" w:hAnsi="Calibri"/>
          <w:sz w:val="22"/>
          <w:szCs w:val="22"/>
        </w:rPr>
        <w:t xml:space="preserve">A organização parceira deste projeto é a Databurgo Brasil Tecnologia, empresa goiana de pequeno porte fundada em 01/08/2019, registrada na Receita Federal como Empresário Individual em nome de seu representante legal, Brendo Oliveira Marinho. A Databurgo presta serviços de desenvolvimento de sites, landing pages e soluções digitais para pequenos e médios clientes, atuando com dois modelos de contratação: entregas pontuais (por exemplo, criação de um site ou landing page) e contratos recorrentes de manutenção e suporte, cobrados por meio de receita recorrente mensal (MRR).</w:t>
      </w:r>
    </w:p>
    <w:p>
      <w:pPr>
        <w:spacing w:after="200" w:line="276"/>
        <w:jc w:val="both"/>
      </w:pPr>
      <w:r>
        <w:rPr>
          <w:rFonts w:ascii="Calibri" w:cs="Calibri" w:eastAsia="Calibri" w:hAnsi="Calibri"/>
          <w:sz w:val="22"/>
          <w:szCs w:val="22"/>
        </w:rPr>
        <w:t xml:space="preserve">A empresa não possui estrutura formal de tecnologia da informação voltada à análise de dados: o relacionamento com clientes é conduzido de forma direta e pessoal, majoritariamente via WhatsApp, sem uso de CRM, planilhas de acompanhamento sistemático ou qualquer ferramenta de Business Intelligence.</w:t>
      </w:r>
    </w:p>
    <w:p>
      <w:pPr>
        <w:pStyle w:val="Heading1"/>
        <w:spacing w:after="200" w:before="400"/>
      </w:pPr>
      <w:r>
        <w:t xml:space="preserve">2. Necessidade ou Problema Identificado</w:t>
      </w:r>
    </w:p>
    <w:p>
      <w:pPr>
        <w:spacing w:after="200" w:line="276"/>
        <w:jc w:val="both"/>
      </w:pPr>
      <w:r>
        <w:rPr>
          <w:rFonts w:ascii="Calibri" w:cs="Calibri" w:eastAsia="Calibri" w:hAnsi="Calibri"/>
          <w:sz w:val="22"/>
          <w:szCs w:val="22"/>
        </w:rPr>
        <w:t xml:space="preserve">Por ser uma empresa pequena administrada por um único sócio-fundador, a Databurgo acompanha a saúde do relacionamento com seus clientes de forma essencialmente intuitiva. O fundador relatou, em conversa durante o levantamento de requisitos, ter a percepção ("no feeling") de que a taxa de cancelamento é baixa e o atendimento é rápido e bem avaliado, mas reconheceu não possuir nenhum indicador objetivo, cronometrado ou comparado a padrões de mercado que sustente essa percepção.</w:t>
      </w:r>
    </w:p>
    <w:p>
      <w:pPr>
        <w:spacing w:after="200" w:line="276"/>
        <w:jc w:val="both"/>
      </w:pPr>
      <w:r>
        <w:rPr>
          <w:rFonts w:ascii="Calibri" w:cs="Calibri" w:eastAsia="Calibri" w:hAnsi="Calibri"/>
          <w:b/>
          <w:bCs/>
          <w:sz w:val="22"/>
          <w:szCs w:val="22"/>
        </w:rPr>
        <w:t xml:space="preserve">Necessidade identificada: </w:t>
      </w:r>
      <w:r>
        <w:rPr>
          <w:rFonts w:ascii="Calibri" w:cs="Calibri" w:eastAsia="Calibri" w:hAnsi="Calibri"/>
          <w:sz w:val="22"/>
          <w:szCs w:val="22"/>
        </w:rPr>
        <w:t xml:space="preserve">transformar os números agregados que a própria empresa já possui — clientes ativos, cancelamentos, receita recorrente e contratos múltiplos — em indicadores organizados e comparáveis a benchmarks de mercado, permitindo ao fundador avaliar de forma objetiva se a retenção e o relacionamento com clientes estão em nível saudável, e priorizar ações com base em evidência, e não apenas em percepção.</w:t>
      </w:r>
    </w:p>
    <w:p>
      <w:pPr>
        <w:pStyle w:val="Heading1"/>
        <w:spacing w:after="200" w:before="400"/>
      </w:pPr>
      <w:r>
        <w:t xml:space="preserve">3. Interação Realizada com a Organização</w:t>
      </w:r>
    </w:p>
    <w:p>
      <w:pPr>
        <w:spacing w:after="200" w:line="276"/>
        <w:jc w:val="both"/>
      </w:pPr>
      <w:r>
        <w:rPr>
          <w:rFonts w:ascii="Calibri" w:cs="Calibri" w:eastAsia="Calibri" w:hAnsi="Calibri"/>
          <w:sz w:val="22"/>
          <w:szCs w:val="22"/>
        </w:rPr>
        <w:t xml:space="preserve">A parceria foi formalizada por meio do Termo de Formalização de Atividade Disciplinar de Extensão, assinado digitalmente via gov.br por Giancarlo Neves da Cruz e por Brendo Oliveira Marinho (representante legal da Databurgo), com vigência de 27/08/2026 a 02/10/2026, e da Carta de Início das Atividades de Extensão assinada pelo professor Thalles Bruno Gonçalves Nery dos Santos.</w:t>
      </w:r>
    </w:p>
    <w:p>
      <w:pPr>
        <w:spacing w:after="200" w:line="276"/>
        <w:jc w:val="both"/>
      </w:pPr>
      <w:r>
        <w:rPr>
          <w:rFonts w:ascii="Calibri" w:cs="Calibri" w:eastAsia="Calibri" w:hAnsi="Calibri"/>
          <w:sz w:val="22"/>
          <w:szCs w:val="22"/>
        </w:rPr>
        <w:t xml:space="preserve">O levantamento de requisitos e dos dados ocorreu por meio de trocas diretas de mensagens com o representante da empresa, incluindo:</w:t>
      </w:r>
    </w:p>
    <w:p>
      <w:pPr>
        <w:pStyle w:val="ListParagraph"/>
        <w:numPr>
          <w:ilvl w:val="0"/>
          <w:numId w:val="1"/>
        </w:numPr>
        <w:spacing w:after="100" w:line="276"/>
      </w:pPr>
      <w:r>
        <w:rPr>
          <w:rFonts w:ascii="Calibri" w:cs="Calibri" w:eastAsia="Calibri" w:hAnsi="Calibri"/>
          <w:sz w:val="22"/>
          <w:szCs w:val="22"/>
        </w:rPr>
        <w:t xml:space="preserve">Definição conjunta do escopo do projeto, com foco em indicadores de retenção e relacionamento com clientes (Customer Analytics), após descartar abordagens iniciais voltadas a atendimento e infraestrutura;</w:t>
      </w:r>
    </w:p>
    <w:p>
      <w:pPr>
        <w:pStyle w:val="ListParagraph"/>
        <w:numPr>
          <w:ilvl w:val="0"/>
          <w:numId w:val="1"/>
        </w:numPr>
        <w:spacing w:after="100" w:line="276"/>
      </w:pPr>
      <w:r>
        <w:rPr>
          <w:rFonts w:ascii="Calibri" w:cs="Calibri" w:eastAsia="Calibri" w:hAnsi="Calibri"/>
          <w:sz w:val="22"/>
          <w:szCs w:val="22"/>
        </w:rPr>
        <w:t xml:space="preserve">Fornecimento, pelo Brendo, de dados agregados reais referentes ao período de março a agosto de 2026 (6 meses);</w:t>
      </w:r>
    </w:p>
    <w:p>
      <w:pPr>
        <w:pStyle w:val="ListParagraph"/>
        <w:numPr>
          <w:ilvl w:val="0"/>
          <w:numId w:val="1"/>
        </w:numPr>
        <w:spacing w:after="100" w:line="276"/>
      </w:pPr>
      <w:r>
        <w:rPr>
          <w:rFonts w:ascii="Calibri" w:cs="Calibri" w:eastAsia="Calibri" w:hAnsi="Calibri"/>
          <w:sz w:val="22"/>
          <w:szCs w:val="22"/>
        </w:rPr>
        <w:t xml:space="preserve">Mensagem de voz do Brendo esclarecendo que o tempo de resposta ao suporte não é cronometrado nem registrado em planilha — sua percepção de rapidez é baseada em "feeling", já que a maioria dos chamados chega direto pelo WhatsApp e costuma ser respondida no mesmo turno.</w:t>
      </w:r>
    </w:p>
    <w:p>
      <w:pPr>
        <w:spacing w:after="200" w:line="276"/>
        <w:jc w:val="both"/>
      </w:pPr>
      <w:r>
        <w:rPr>
          <w:rFonts w:ascii="Calibri" w:cs="Calibri" w:eastAsia="Calibri" w:hAnsi="Calibri"/>
          <w:sz w:val="22"/>
          <w:szCs w:val="22"/>
        </w:rPr>
        <w:t xml:space="preserve">É importante registrar, com transparência, uma limitação desta interação: os dados de satisfação utilizados neste relatório são uma autoavaliação do próprio fundador da empresa parceira, não o resultado de uma pesquisa formal de satisfação (CSAT/NPS) aplicada à carteira de clientes da Databurgo. Essa limitação é discutida nas seções 6 e 12.</w:t>
      </w:r>
    </w:p>
    <w:p>
      <w:pPr>
        <w:pStyle w:val="Heading1"/>
        <w:spacing w:after="200" w:before="400"/>
      </w:pPr>
      <w:r>
        <w:t xml:space="preserve">4. Objetivos do Projeto</w:t>
      </w:r>
    </w:p>
    <w:p>
      <w:pPr>
        <w:spacing w:after="200" w:line="276"/>
        <w:jc w:val="both"/>
      </w:pPr>
      <w:r>
        <w:rPr>
          <w:rFonts w:ascii="Calibri" w:cs="Calibri" w:eastAsia="Calibri" w:hAnsi="Calibri"/>
          <w:b/>
          <w:bCs/>
          <w:sz w:val="22"/>
          <w:szCs w:val="22"/>
        </w:rPr>
        <w:t xml:space="preserve">Objetivo geral: </w:t>
      </w:r>
      <w:r>
        <w:rPr>
          <w:rFonts w:ascii="Calibri" w:cs="Calibri" w:eastAsia="Calibri" w:hAnsi="Calibri"/>
          <w:sz w:val="22"/>
          <w:szCs w:val="22"/>
        </w:rPr>
        <w:t xml:space="preserve">desenvolver uma ferramenta analítica interativa que permita à Databurgo comparar seus indicadores agregados de relacionamento com clientes a benchmarks de mercado, apoiando decisões sobre retenção, precificação e priorização comercial.</w:t>
      </w:r>
    </w:p>
    <w:p>
      <w:pPr>
        <w:spacing w:after="200" w:line="276"/>
        <w:jc w:val="both"/>
      </w:pPr>
      <w:r>
        <w:rPr>
          <w:rFonts w:ascii="Calibri" w:cs="Calibri" w:eastAsia="Calibri" w:hAnsi="Calibri"/>
          <w:sz w:val="22"/>
          <w:szCs w:val="22"/>
        </w:rPr>
        <w:t xml:space="preserve">Objetivos específicos:</w:t>
      </w:r>
    </w:p>
    <w:p>
      <w:pPr>
        <w:pStyle w:val="ListParagraph"/>
        <w:numPr>
          <w:ilvl w:val="0"/>
          <w:numId w:val="1"/>
        </w:numPr>
        <w:spacing w:after="100" w:line="276"/>
      </w:pPr>
      <w:r>
        <w:rPr>
          <w:rFonts w:ascii="Calibri" w:cs="Calibri" w:eastAsia="Calibri" w:hAnsi="Calibri"/>
          <w:sz w:val="22"/>
          <w:szCs w:val="22"/>
        </w:rPr>
        <w:t xml:space="preserve">Definir um conjunto reduzido de KPIs relevantes ao contexto da empresa, cobrindo diferentes perspectivas de desempenho (financeira, cliente e relacionamento), evitando tanto a avaliação por indicador único quanto o excesso de métricas;</w:t>
      </w:r>
    </w:p>
    <w:p>
      <w:pPr>
        <w:pStyle w:val="ListParagraph"/>
        <w:numPr>
          <w:ilvl w:val="0"/>
          <w:numId w:val="1"/>
        </w:numPr>
        <w:spacing w:after="100" w:line="276"/>
      </w:pPr>
      <w:r>
        <w:rPr>
          <w:rFonts w:ascii="Calibri" w:cs="Calibri" w:eastAsia="Calibri" w:hAnsi="Calibri"/>
          <w:sz w:val="22"/>
          <w:szCs w:val="22"/>
        </w:rPr>
        <w:t xml:space="preserve">Levantar benchmarks de mercado confiáveis e citáveis para cada indicador definido;</w:t>
      </w:r>
    </w:p>
    <w:p>
      <w:pPr>
        <w:pStyle w:val="ListParagraph"/>
        <w:numPr>
          <w:ilvl w:val="0"/>
          <w:numId w:val="1"/>
        </w:numPr>
        <w:spacing w:after="100" w:line="276"/>
      </w:pPr>
      <w:r>
        <w:rPr>
          <w:rFonts w:ascii="Calibri" w:cs="Calibri" w:eastAsia="Calibri" w:hAnsi="Calibri"/>
          <w:sz w:val="22"/>
          <w:szCs w:val="22"/>
        </w:rPr>
        <w:t xml:space="preserve">Construir uma aplicação interativa em Streamlit na qual a Databurgo — ou outra pequena empresa de perfil semelhante — possa inserir seus próprios números agregados e visualizar de forma imediata como eles se posicionam frente ao mercado;</w:t>
      </w:r>
    </w:p>
    <w:p>
      <w:pPr>
        <w:pStyle w:val="ListParagraph"/>
        <w:numPr>
          <w:ilvl w:val="0"/>
          <w:numId w:val="1"/>
        </w:numPr>
        <w:spacing w:after="100" w:line="276"/>
      </w:pPr>
      <w:r>
        <w:rPr>
          <w:rFonts w:ascii="Calibri" w:cs="Calibri" w:eastAsia="Calibri" w:hAnsi="Calibri"/>
          <w:sz w:val="22"/>
          <w:szCs w:val="22"/>
        </w:rPr>
        <w:t xml:space="preserve">Aplicar boas práticas de visualização de dados e princípios de Data Storytelling na apresentação dos resultados.</w:t>
      </w:r>
    </w:p>
    <w:p>
      <w:pPr>
        <w:pStyle w:val="Heading1"/>
        <w:spacing w:after="200" w:before="400"/>
      </w:pPr>
      <w:r>
        <w:t xml:space="preserve">5. Descrição da Base de Dados</w:t>
      </w:r>
    </w:p>
    <w:p>
      <w:pPr>
        <w:spacing w:after="200" w:line="276"/>
        <w:jc w:val="both"/>
      </w:pPr>
      <w:r>
        <w:rPr>
          <w:rFonts w:ascii="Calibri" w:cs="Calibri" w:eastAsia="Calibri" w:hAnsi="Calibri"/>
          <w:sz w:val="22"/>
          <w:szCs w:val="22"/>
        </w:rPr>
        <w:t xml:space="preserve">Diante da limitação de dados internos da organização parceira — o Brendo relatou possuir, em grande parte, apenas o histórico de conversas de WhatsApp com clientes, sem qualquer base estruturada — optou-se por não simular uma base de dados sintética em nível de cliente individual. Em vez disso, a base deste projeto é composta por:</w:t>
      </w:r>
    </w:p>
    <w:p>
      <w:pPr>
        <w:pStyle w:val="ListParagraph"/>
        <w:numPr>
          <w:ilvl w:val="0"/>
          <w:numId w:val="1"/>
        </w:numPr>
        <w:spacing w:after="100" w:line="276"/>
      </w:pPr>
      <w:r>
        <w:rPr>
          <w:rFonts w:ascii="Calibri" w:cs="Calibri" w:eastAsia="Calibri" w:hAnsi="Calibri"/>
          <w:sz w:val="22"/>
          <w:szCs w:val="22"/>
        </w:rPr>
        <w:t xml:space="preserve">Dados agregados reais fornecidos diretamente pelo Brendo, referentes ao período de março a agosto de 2026 (6 meses);</w:t>
      </w:r>
    </w:p>
    <w:p>
      <w:pPr>
        <w:pStyle w:val="ListParagraph"/>
        <w:numPr>
          <w:ilvl w:val="0"/>
          <w:numId w:val="1"/>
        </w:numPr>
        <w:spacing w:after="100" w:line="276"/>
      </w:pPr>
      <w:r>
        <w:rPr>
          <w:rFonts w:ascii="Calibri" w:cs="Calibri" w:eastAsia="Calibri" w:hAnsi="Calibri"/>
          <w:sz w:val="22"/>
          <w:szCs w:val="22"/>
        </w:rPr>
        <w:t xml:space="preserve">Benchmarks de mercado obtidos de fontes públicas sobre churn, cross-sell e satisfação de clientes em empresas de tecnologia e agências de pequeno porte (ver Referências).</w:t>
      </w:r>
    </w:p>
    <w:p>
      <w:pPr>
        <w:spacing w:after="200" w:line="276"/>
        <w:jc w:val="both"/>
      </w:pPr>
      <w:r>
        <w:rPr>
          <w:rFonts w:ascii="Calibri" w:cs="Calibri" w:eastAsia="Calibri" w:hAnsi="Calibri"/>
          <w:sz w:val="22"/>
          <w:szCs w:val="22"/>
        </w:rPr>
        <w:t xml:space="preserve">Os dados agregados fornecidos pela Databurgo estão resumidos na tabela a seguir: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200"/>
        <w:gridCol w:w="3600"/>
        <w:gridCol w:w="2000"/>
      </w:tblGrid>
      <w:tr>
        <w:trPr>
          <w:tblHeader/>
        </w:trPr>
        <w:tc>
          <w:tcPr>
            <w:tcW w:type="dxa" w:w="4200"/>
            <w:shd w:fill="1F4E79" w:val="clear"/>
            <w:vAlign w:val="center"/>
          </w:tcPr>
          <w:p>
            <w:pPr>
              <w:jc w:val="left"/>
            </w:pPr>
            <w:r>
              <w:rPr>
                <w:rFonts w:ascii="Calibri" w:cs="Calibri" w:eastAsia="Calibri" w:hAnsi="Calibri"/>
                <w:b/>
                <w:bCs/>
                <w:color w:val="FFFFFF"/>
                <w:sz w:val="20"/>
                <w:szCs w:val="20"/>
              </w:rPr>
              <w:t xml:space="preserve">Métrica</w:t>
            </w:r>
          </w:p>
        </w:tc>
        <w:tc>
          <w:tcPr>
            <w:tcW w:type="dxa" w:w="3600"/>
            <w:shd w:fill="1F4E79" w:val="clear"/>
            <w:vAlign w:val="center"/>
          </w:tcPr>
          <w:p>
            <w:pPr>
              <w:jc w:val="left"/>
            </w:pPr>
            <w:r>
              <w:rPr>
                <w:rFonts w:ascii="Calibri" w:cs="Calibri" w:eastAsia="Calibri" w:hAnsi="Calibri"/>
                <w:b/>
                <w:bCs/>
                <w:color w:val="FFFFFF"/>
                <w:sz w:val="20"/>
                <w:szCs w:val="20"/>
              </w:rPr>
              <w:t xml:space="preserve">Valor informado</w:t>
            </w:r>
          </w:p>
        </w:tc>
        <w:tc>
          <w:tcPr>
            <w:tcW w:type="dxa" w:w="2000"/>
            <w:shd w:fill="1F4E79" w:val="clear"/>
            <w:vAlign w:val="center"/>
          </w:tcPr>
          <w:p>
            <w:pPr>
              <w:jc w:val="left"/>
            </w:pPr>
            <w:r>
              <w:rPr>
                <w:rFonts w:ascii="Calibri" w:cs="Calibri" w:eastAsia="Calibri" w:hAnsi="Calibri"/>
                <w:b/>
                <w:bCs/>
                <w:color w:val="FFFFFF"/>
                <w:sz w:val="20"/>
                <w:szCs w:val="20"/>
              </w:rPr>
              <w:t xml:space="preserve">Período</w:t>
            </w:r>
          </w:p>
        </w:tc>
      </w:tr>
      <w:tr>
        <w:tc>
          <w:tcPr>
            <w:tcW w:type="dxa" w:w="4200"/>
            <w:vAlign w:val="center"/>
          </w:tcPr>
          <w:p>
            <w:pPr>
              <w:jc w:val="left"/>
            </w:pPr>
            <w:r>
              <w:rPr>
                <w:rFonts w:ascii="Calibri" w:cs="Calibri" w:eastAsia="Calibri" w:hAnsi="Calibri"/>
                <w:b w:val="false"/>
                <w:bCs w:val="false"/>
                <w:sz w:val="20"/>
                <w:szCs w:val="20"/>
              </w:rPr>
              <w:t xml:space="preserve">Clientes ativos no início do período</w:t>
            </w:r>
          </w:p>
        </w:tc>
        <w:tc>
          <w:tcPr>
            <w:tcW w:type="dxa" w:w="3600"/>
            <w:vAlign w:val="center"/>
          </w:tcPr>
          <w:p>
            <w:pPr>
              <w:jc w:val="left"/>
            </w:pPr>
            <w:r>
              <w:rPr>
                <w:rFonts w:ascii="Calibri" w:cs="Calibri" w:eastAsia="Calibri" w:hAnsi="Calibri"/>
                <w:b w:val="false"/>
                <w:bCs w:val="false"/>
                <w:sz w:val="20"/>
                <w:szCs w:val="20"/>
              </w:rPr>
              <w:t xml:space="preserve">38</w:t>
            </w:r>
          </w:p>
        </w:tc>
        <w:tc>
          <w:tcPr>
            <w:tcW w:type="dxa" w:w="2000"/>
            <w:vAlign w:val="center"/>
          </w:tcPr>
          <w:p>
            <w:pPr>
              <w:jc w:val="left"/>
            </w:pPr>
            <w:r>
              <w:rPr>
                <w:rFonts w:ascii="Calibri" w:cs="Calibri" w:eastAsia="Calibri" w:hAnsi="Calibri"/>
                <w:b w:val="false"/>
                <w:bCs w:val="false"/>
                <w:sz w:val="20"/>
                <w:szCs w:val="20"/>
              </w:rPr>
              <w:t xml:space="preserve">01/03/2026</w:t>
            </w:r>
          </w:p>
        </w:tc>
      </w:tr>
      <w:tr>
        <w:tc>
          <w:tcPr>
            <w:tcW w:type="dxa" w:w="4200"/>
            <w:vAlign w:val="center"/>
          </w:tcPr>
          <w:p>
            <w:pPr>
              <w:jc w:val="left"/>
            </w:pPr>
            <w:r>
              <w:rPr>
                <w:rFonts w:ascii="Calibri" w:cs="Calibri" w:eastAsia="Calibri" w:hAnsi="Calibri"/>
                <w:b w:val="false"/>
                <w:bCs w:val="false"/>
                <w:sz w:val="20"/>
                <w:szCs w:val="20"/>
              </w:rPr>
              <w:t xml:space="preserve">Clientes ativos no fim do período</w:t>
            </w:r>
          </w:p>
        </w:tc>
        <w:tc>
          <w:tcPr>
            <w:tcW w:type="dxa" w:w="3600"/>
            <w:vAlign w:val="center"/>
          </w:tcPr>
          <w:p>
            <w:pPr>
              <w:jc w:val="left"/>
            </w:pPr>
            <w:r>
              <w:rPr>
                <w:rFonts w:ascii="Calibri" w:cs="Calibri" w:eastAsia="Calibri" w:hAnsi="Calibri"/>
                <w:b w:val="false"/>
                <w:bCs w:val="false"/>
                <w:sz w:val="20"/>
                <w:szCs w:val="20"/>
              </w:rPr>
              <w:t xml:space="preserve">46</w:t>
            </w:r>
          </w:p>
        </w:tc>
        <w:tc>
          <w:tcPr>
            <w:tcW w:type="dxa" w:w="2000"/>
            <w:vAlign w:val="center"/>
          </w:tcPr>
          <w:p>
            <w:pPr>
              <w:jc w:val="left"/>
            </w:pPr>
            <w:r>
              <w:rPr>
                <w:rFonts w:ascii="Calibri" w:cs="Calibri" w:eastAsia="Calibri" w:hAnsi="Calibri"/>
                <w:b w:val="false"/>
                <w:bCs w:val="false"/>
                <w:sz w:val="20"/>
                <w:szCs w:val="20"/>
              </w:rPr>
              <w:t xml:space="preserve">31/08/2026</w:t>
            </w:r>
          </w:p>
        </w:tc>
      </w:tr>
      <w:tr>
        <w:tc>
          <w:tcPr>
            <w:tcW w:type="dxa" w:w="4200"/>
            <w:vAlign w:val="center"/>
          </w:tcPr>
          <w:p>
            <w:pPr>
              <w:jc w:val="left"/>
            </w:pPr>
            <w:r>
              <w:rPr>
                <w:rFonts w:ascii="Calibri" w:cs="Calibri" w:eastAsia="Calibri" w:hAnsi="Calibri"/>
                <w:b w:val="false"/>
                <w:bCs w:val="false"/>
                <w:sz w:val="20"/>
                <w:szCs w:val="20"/>
              </w:rPr>
              <w:t xml:space="preserve">Cancelamentos no período</w:t>
            </w:r>
          </w:p>
        </w:tc>
        <w:tc>
          <w:tcPr>
            <w:tcW w:type="dxa" w:w="3600"/>
            <w:vAlign w:val="center"/>
          </w:tcPr>
          <w:p>
            <w:pPr>
              <w:jc w:val="left"/>
            </w:pPr>
            <w:r>
              <w:rPr>
                <w:rFonts w:ascii="Calibri" w:cs="Calibri" w:eastAsia="Calibri" w:hAnsi="Calibri"/>
                <w:b w:val="false"/>
                <w:bCs w:val="false"/>
                <w:sz w:val="20"/>
                <w:szCs w:val="20"/>
              </w:rPr>
              <w:t xml:space="preserve">5 (majoritariamente contratos pontuais de site/landing page encerrados após a entrega)</w:t>
            </w:r>
          </w:p>
        </w:tc>
        <w:tc>
          <w:tcPr>
            <w:tcW w:type="dxa" w:w="2000"/>
            <w:vAlign w:val="center"/>
          </w:tcPr>
          <w:p>
            <w:pPr>
              <w:jc w:val="left"/>
            </w:pPr>
            <w:r>
              <w:rPr>
                <w:rFonts w:ascii="Calibri" w:cs="Calibri" w:eastAsia="Calibri" w:hAnsi="Calibri"/>
                <w:b w:val="false"/>
                <w:bCs w:val="false"/>
                <w:sz w:val="20"/>
                <w:szCs w:val="20"/>
              </w:rPr>
              <w:t xml:space="preserve">mar–ago/2026</w:t>
            </w:r>
          </w:p>
        </w:tc>
      </w:tr>
      <w:tr>
        <w:tc>
          <w:tcPr>
            <w:tcW w:type="dxa" w:w="4200"/>
            <w:vAlign w:val="center"/>
          </w:tcPr>
          <w:p>
            <w:pPr>
              <w:jc w:val="left"/>
            </w:pPr>
            <w:r>
              <w:rPr>
                <w:rFonts w:ascii="Calibri" w:cs="Calibri" w:eastAsia="Calibri" w:hAnsi="Calibri"/>
                <w:b w:val="false"/>
                <w:bCs w:val="false"/>
                <w:sz w:val="20"/>
                <w:szCs w:val="20"/>
              </w:rPr>
              <w:t xml:space="preserve">Receita Recorrente Mensal (MRR)</w:t>
            </w:r>
          </w:p>
        </w:tc>
        <w:tc>
          <w:tcPr>
            <w:tcW w:type="dxa" w:w="3600"/>
            <w:vAlign w:val="center"/>
          </w:tcPr>
          <w:p>
            <w:pPr>
              <w:jc w:val="left"/>
            </w:pPr>
            <w:r>
              <w:rPr>
                <w:rFonts w:ascii="Calibri" w:cs="Calibri" w:eastAsia="Calibri" w:hAnsi="Calibri"/>
                <w:b w:val="false"/>
                <w:bCs w:val="false"/>
                <w:sz w:val="20"/>
                <w:szCs w:val="20"/>
              </w:rPr>
              <w:t xml:space="preserve">R$ 19.500 – R$ 20.000</w:t>
            </w:r>
          </w:p>
        </w:tc>
        <w:tc>
          <w:tcPr>
            <w:tcW w:type="dxa" w:w="2000"/>
            <w:vAlign w:val="center"/>
          </w:tcPr>
          <w:p>
            <w:pPr>
              <w:jc w:val="left"/>
            </w:pPr>
            <w:r>
              <w:rPr>
                <w:rFonts w:ascii="Calibri" w:cs="Calibri" w:eastAsia="Calibri" w:hAnsi="Calibri"/>
                <w:b w:val="false"/>
                <w:bCs w:val="false"/>
                <w:sz w:val="20"/>
                <w:szCs w:val="20"/>
              </w:rPr>
              <w:t xml:space="preserve">ago/2026</w:t>
            </w:r>
          </w:p>
        </w:tc>
      </w:tr>
      <w:tr>
        <w:tc>
          <w:tcPr>
            <w:tcW w:type="dxa" w:w="4200"/>
            <w:vAlign w:val="center"/>
          </w:tcPr>
          <w:p>
            <w:pPr>
              <w:jc w:val="left"/>
            </w:pPr>
            <w:r>
              <w:rPr>
                <w:rFonts w:ascii="Calibri" w:cs="Calibri" w:eastAsia="Calibri" w:hAnsi="Calibri"/>
                <w:b w:val="false"/>
                <w:bCs w:val="false"/>
                <w:sz w:val="20"/>
                <w:szCs w:val="20"/>
              </w:rPr>
              <w:t xml:space="preserve">Clientes com mais de um serviço contratado</w:t>
            </w:r>
          </w:p>
        </w:tc>
        <w:tc>
          <w:tcPr>
            <w:tcW w:type="dxa" w:w="3600"/>
            <w:vAlign w:val="center"/>
          </w:tcPr>
          <w:p>
            <w:pPr>
              <w:jc w:val="left"/>
            </w:pPr>
            <w:r>
              <w:rPr>
                <w:rFonts w:ascii="Calibri" w:cs="Calibri" w:eastAsia="Calibri" w:hAnsi="Calibri"/>
                <w:b w:val="false"/>
                <w:bCs w:val="false"/>
                <w:sz w:val="20"/>
                <w:szCs w:val="20"/>
              </w:rPr>
              <w:t xml:space="preserve">14 (≈ 30–35% da base)</w:t>
            </w:r>
          </w:p>
        </w:tc>
        <w:tc>
          <w:tcPr>
            <w:tcW w:type="dxa" w:w="2000"/>
            <w:vAlign w:val="center"/>
          </w:tcPr>
          <w:p>
            <w:pPr>
              <w:jc w:val="left"/>
            </w:pPr>
            <w:r>
              <w:rPr>
                <w:rFonts w:ascii="Calibri" w:cs="Calibri" w:eastAsia="Calibri" w:hAnsi="Calibri"/>
                <w:b w:val="false"/>
                <w:bCs w:val="false"/>
                <w:sz w:val="20"/>
                <w:szCs w:val="20"/>
              </w:rPr>
              <w:t xml:space="preserve">ago/2026</w:t>
            </w:r>
          </w:p>
        </w:tc>
      </w:tr>
      <w:tr>
        <w:tc>
          <w:tcPr>
            <w:tcW w:type="dxa" w:w="4200"/>
            <w:vAlign w:val="center"/>
          </w:tcPr>
          <w:p>
            <w:pPr>
              <w:jc w:val="left"/>
            </w:pPr>
            <w:r>
              <w:rPr>
                <w:rFonts w:ascii="Calibri" w:cs="Calibri" w:eastAsia="Calibri" w:hAnsi="Calibri"/>
                <w:b w:val="false"/>
                <w:bCs w:val="false"/>
                <w:sz w:val="20"/>
                <w:szCs w:val="20"/>
              </w:rPr>
              <w:t xml:space="preserve">Satisfação percebida (autoavaliação do fundador, escala 0–10)</w:t>
            </w:r>
          </w:p>
        </w:tc>
        <w:tc>
          <w:tcPr>
            <w:tcW w:type="dxa" w:w="3600"/>
            <w:vAlign w:val="center"/>
          </w:tcPr>
          <w:p>
            <w:pPr>
              <w:jc w:val="left"/>
            </w:pPr>
            <w:r>
              <w:rPr>
                <w:rFonts w:ascii="Calibri" w:cs="Calibri" w:eastAsia="Calibri" w:hAnsi="Calibri"/>
                <w:b w:val="false"/>
                <w:bCs w:val="false"/>
                <w:sz w:val="20"/>
                <w:szCs w:val="20"/>
              </w:rPr>
              <w:t xml:space="preserve">8,5 – 9,0</w:t>
            </w:r>
          </w:p>
        </w:tc>
        <w:tc>
          <w:tcPr>
            <w:tcW w:type="dxa" w:w="2000"/>
            <w:vAlign w:val="center"/>
          </w:tcPr>
          <w:p>
            <w:pPr>
              <w:jc w:val="left"/>
            </w:pPr>
            <w:r>
              <w:rPr>
                <w:rFonts w:ascii="Calibri" w:cs="Calibri" w:eastAsia="Calibri" w:hAnsi="Calibri"/>
                <w:b w:val="false"/>
                <w:bCs w:val="false"/>
                <w:sz w:val="20"/>
                <w:szCs w:val="20"/>
              </w:rPr>
              <w:t xml:space="preserve">ago/2026</w:t>
            </w:r>
          </w:p>
        </w:tc>
      </w:tr>
    </w:tbl>
    <w:p>
      <w:pPr>
        <w:spacing w:after="200" w:line="276"/>
        <w:jc w:val="both"/>
      </w:pPr>
      <w:r>
        <w:rPr>
          <w:rFonts w:ascii="Calibri" w:cs="Calibri" w:eastAsia="Calibri" w:hAnsi="Calibri"/>
          <w:sz w:val="22"/>
          <w:szCs w:val="22"/>
        </w:rPr>
        <w:t xml:space="preserve">Não foram coletados nem simulados dados em nível de cliente individual (nome, contrato específico, histórico de interação por cliente), tanto pela limitação de disponibilidade de dados da organização parceira quanto por uma decisão metodológica: avaliar a solução de forma agregada, comparando os totais da Databurgo a benchmarks de mercado, evita o risco — apontado nas aulas da disciplina — de tirar conclusões de indicadores isolados sem contexto comparativo.</w:t>
      </w:r>
    </w:p>
    <w:p>
      <w:pPr>
        <w:pStyle w:val="Heading1"/>
        <w:spacing w:after="200" w:before="400"/>
      </w:pPr>
      <w:r>
        <w:t xml:space="preserve">6. Indicadores-Chave de Desempenho (KPIs)</w:t>
      </w:r>
    </w:p>
    <w:p>
      <w:pPr>
        <w:spacing w:after="200" w:line="276"/>
        <w:jc w:val="both"/>
      </w:pPr>
      <w:r>
        <w:rPr>
          <w:rFonts w:ascii="Calibri" w:cs="Calibri" w:eastAsia="Calibri" w:hAnsi="Calibri"/>
          <w:sz w:val="22"/>
          <w:szCs w:val="22"/>
        </w:rPr>
        <w:t xml:space="preserve">Os KPIs foram definidos antes da construção de qualquer visualização, seguindo a orientação de que o indicador precisa existir e ser justificado por escrito antes do dashboard ser construído em cima dele. Optou-se por um conjunto reduzido de quatro indicadores, organizados em três perspectivas complementares — inspiradas na lógica de um Balanced Scorecard — para evitar tanto o erro de avaliar desempenho por uma métrica isolada quanto o de criar uma lista extensa e inviável de acompanhar.</w:t>
      </w:r>
    </w:p>
    <w:p>
      <w:pPr>
        <w:pStyle w:val="Heading2"/>
        <w:spacing w:after="150" w:before="300"/>
      </w:pPr>
      <w:r>
        <w:t xml:space="preserve">6.1. Perspectiva Financeira</w:t>
      </w:r>
    </w:p>
    <w:p>
      <w:pPr>
        <w:spacing w:after="200" w:line="276"/>
        <w:jc w:val="both"/>
      </w:pPr>
      <w:r>
        <w:rPr>
          <w:rFonts w:ascii="Calibri" w:cs="Calibri" w:eastAsia="Calibri" w:hAnsi="Calibri"/>
          <w:b/>
          <w:bCs/>
          <w:sz w:val="22"/>
          <w:szCs w:val="22"/>
        </w:rPr>
        <w:t xml:space="preserve">Receita Recorrente Mensal (MRR) e Ticket Médio por Cliente. </w:t>
      </w:r>
      <w:r>
        <w:rPr>
          <w:rFonts w:ascii="Calibri" w:cs="Calibri" w:eastAsia="Calibri" w:hAnsi="Calibri"/>
          <w:sz w:val="22"/>
          <w:szCs w:val="22"/>
        </w:rPr>
        <w:t xml:space="preserve">O MRR é a base de sustentabilidade financeira de um negócio de serviços recorrentes; acompanhar seu valor absoluto e o ticket médio por cliente ativo (MRR dividido pelo número de clientes) permite observar não só quanto a empresa fatura, mas se esse faturamento está concentrado em poucos clientes de alto valor ou distribuído de forma mais equilibrada.</w:t>
      </w:r>
    </w:p>
    <w:p>
      <w:pPr>
        <w:pStyle w:val="Heading2"/>
        <w:spacing w:after="150" w:before="300"/>
      </w:pPr>
      <w:r>
        <w:t xml:space="preserve">6.2. Perspectiva Cliente / Retenção</w:t>
      </w:r>
    </w:p>
    <w:p>
      <w:pPr>
        <w:spacing w:after="200" w:line="276"/>
        <w:jc w:val="both"/>
      </w:pPr>
      <w:r>
        <w:rPr>
          <w:rFonts w:ascii="Calibri" w:cs="Calibri" w:eastAsia="Calibri" w:hAnsi="Calibri"/>
          <w:b/>
          <w:bCs/>
          <w:sz w:val="22"/>
          <w:szCs w:val="22"/>
        </w:rPr>
        <w:t xml:space="preserve">Taxa de Churn Mensal. </w:t>
      </w:r>
      <w:r>
        <w:rPr>
          <w:rFonts w:ascii="Calibri" w:cs="Calibri" w:eastAsia="Calibri" w:hAnsi="Calibri"/>
          <w:sz w:val="22"/>
          <w:szCs w:val="22"/>
        </w:rPr>
        <w:t xml:space="preserve">É o indicador mais direto de saúde do relacionamento com clientes: mede a proporção da base que cancela contratos em um período. Foi escolhido por ser a métrica central da necessidade identificada junto à Databurgo — o Brendo queria saber, objetivamente, se a empresa está perdendo clientes rápido demais.</w:t>
      </w:r>
    </w:p>
    <w:p>
      <w:pPr>
        <w:spacing w:after="200" w:line="276"/>
        <w:jc w:val="both"/>
      </w:pPr>
      <w:r>
        <w:rPr>
          <w:rFonts w:ascii="Calibri" w:cs="Calibri" w:eastAsia="Calibri" w:hAnsi="Calibri"/>
          <w:b/>
          <w:bCs/>
          <w:sz w:val="22"/>
          <w:szCs w:val="22"/>
        </w:rPr>
        <w:t xml:space="preserve">Índice de Satisfação Percebida. </w:t>
      </w:r>
      <w:r>
        <w:rPr>
          <w:rFonts w:ascii="Calibri" w:cs="Calibri" w:eastAsia="Calibri" w:hAnsi="Calibri"/>
          <w:sz w:val="22"/>
          <w:szCs w:val="22"/>
        </w:rPr>
        <w:t xml:space="preserve">Incluído com ressalva metodológica explícita: por ser uma autoavaliação do fundador e não uma pesquisa formal aplicada aos clientes, este indicador é tratado no relatório e no dashboard como complementar e qualitativo, nunca como evidência isolada e suficiente de desempenho — em linha com a orientação de não basear avaliações exclusivamente em dados subjetivos e difíceis de validar.</w:t>
      </w:r>
    </w:p>
    <w:p>
      <w:pPr>
        <w:pStyle w:val="Heading2"/>
        <w:spacing w:after="150" w:before="300"/>
      </w:pPr>
      <w:r>
        <w:t xml:space="preserve">6.3. Perspectiva de Relacionamento / Processos Internos</w:t>
      </w:r>
    </w:p>
    <w:p>
      <w:pPr>
        <w:spacing w:after="200" w:line="276"/>
        <w:jc w:val="both"/>
      </w:pPr>
      <w:r>
        <w:rPr>
          <w:rFonts w:ascii="Calibri" w:cs="Calibri" w:eastAsia="Calibri" w:hAnsi="Calibri"/>
          <w:b/>
          <w:bCs/>
          <w:sz w:val="22"/>
          <w:szCs w:val="22"/>
        </w:rPr>
        <w:t xml:space="preserve">Taxa de Cross-sell (clientes com mais de um serviço contratado). </w:t>
      </w:r>
      <w:r>
        <w:rPr>
          <w:rFonts w:ascii="Calibri" w:cs="Calibri" w:eastAsia="Calibri" w:hAnsi="Calibri"/>
          <w:sz w:val="22"/>
          <w:szCs w:val="22"/>
        </w:rPr>
        <w:t xml:space="preserve">Mede o quanto a empresa está aprofundando o relacionamento com clientes já conquistados, em vez de depender apenas de captação de clientes novos. É um indicador de processo interno de relacionamento comercial, e não apenas um resultado financeiro direto.</w:t>
      </w:r>
    </w:p>
    <w:p>
      <w:pPr>
        <w:spacing w:after="200" w:line="276"/>
        <w:jc w:val="both"/>
      </w:pPr>
      <w:r>
        <w:rPr>
          <w:rFonts w:ascii="Calibri" w:cs="Calibri" w:eastAsia="Calibri" w:hAnsi="Calibri"/>
          <w:sz w:val="22"/>
          <w:szCs w:val="22"/>
        </w:rPr>
        <w:t xml:space="preserve">O tempo de resposta ao suporte, cogitado inicialmente como indicador, foi deliberadamente excluído da lista formal de KPIs: por não ser cronometrado nem registrado pela empresa (conforme relatado pelo próprio Brendo), qualquer valor atribuído a ele seria estimado, não medido — o que o tornaria um dado subjetivo e não confiável para comparação com benchmarks. Ele é mencionado no relatório apenas como observação qualitativa de contexto (seção 3), não como métrica avaliada.</w:t>
      </w:r>
    </w:p>
    <w:p>
      <w:pPr>
        <w:pStyle w:val="Heading1"/>
        <w:spacing w:after="200" w:before="400"/>
      </w:pPr>
      <w:r>
        <w:t xml:space="preserve">7. Justificativa das Visualizações Utilizadas</w:t>
      </w:r>
    </w:p>
    <w:p>
      <w:pPr>
        <w:spacing w:after="200" w:line="276"/>
        <w:jc w:val="both"/>
      </w:pPr>
      <w:r>
        <w:rPr>
          <w:rFonts w:ascii="Calibri" w:cs="Calibri" w:eastAsia="Calibri" w:hAnsi="Calibri"/>
          <w:sz w:val="22"/>
          <w:szCs w:val="22"/>
        </w:rPr>
        <w:t xml:space="preserve">A ferramenta foi construída em Streamlit, tecnologia open source recomendada pelo enunciado do projeto e apresentada em demonstração prática pelo professor durante a disciplina. As escolhas de visualização seguiram os seguintes princípios:</w:t>
      </w:r>
    </w:p>
    <w:p>
      <w:pPr>
        <w:pStyle w:val="ListParagraph"/>
        <w:numPr>
          <w:ilvl w:val="0"/>
          <w:numId w:val="1"/>
        </w:numPr>
        <w:spacing w:after="100" w:line="276"/>
      </w:pPr>
      <w:r>
        <w:rPr>
          <w:rFonts w:ascii="Calibri" w:cs="Calibri" w:eastAsia="Calibri" w:hAnsi="Calibri"/>
          <w:sz w:val="22"/>
          <w:szCs w:val="22"/>
        </w:rPr>
        <w:t xml:space="preserve">Números em destaque ("big numbers") no topo da tela para uma leitura imediata de cada KPI, antes de qualquer detalhamento — recurso do Streamlit apresentado em aula;</w:t>
      </w:r>
    </w:p>
    <w:p>
      <w:pPr>
        <w:pStyle w:val="ListParagraph"/>
        <w:numPr>
          <w:ilvl w:val="0"/>
          <w:numId w:val="1"/>
        </w:numPr>
        <w:spacing w:after="100" w:line="276"/>
      </w:pPr>
      <w:r>
        <w:rPr>
          <w:rFonts w:ascii="Calibri" w:cs="Calibri" w:eastAsia="Calibri" w:hAnsi="Calibri"/>
          <w:sz w:val="22"/>
          <w:szCs w:val="22"/>
        </w:rPr>
        <w:t xml:space="preserve">Um gráfico de comparação por indicador (barra), colocando o valor informado pelo usuário lado a lado com a faixa de benchmark de mercado, evitando múltiplos eixos ou sobreposição de informações não relacionadas;</w:t>
      </w:r>
    </w:p>
    <w:p>
      <w:pPr>
        <w:pStyle w:val="ListParagraph"/>
        <w:numPr>
          <w:ilvl w:val="0"/>
          <w:numId w:val="1"/>
        </w:numPr>
        <w:spacing w:after="100" w:line="276"/>
      </w:pPr>
      <w:r>
        <w:rPr>
          <w:rFonts w:ascii="Calibri" w:cs="Calibri" w:eastAsia="Calibri" w:hAnsi="Calibri"/>
          <w:sz w:val="22"/>
          <w:szCs w:val="22"/>
        </w:rPr>
        <w:t xml:space="preserve">Uso semântico de cor (verde, amarelo, vermelho) exclusivamente para indicar a posição do indicador frente ao benchmark — nunca de forma meramente decorativa — reduzindo ruído gráfico e reforçando a hierarquia visual;</w:t>
      </w:r>
    </w:p>
    <w:p>
      <w:pPr>
        <w:pStyle w:val="ListParagraph"/>
        <w:numPr>
          <w:ilvl w:val="0"/>
          <w:numId w:val="1"/>
        </w:numPr>
        <w:spacing w:after="100" w:line="276"/>
      </w:pPr>
      <w:r>
        <w:rPr>
          <w:rFonts w:ascii="Calibri" w:cs="Calibri" w:eastAsia="Calibri" w:hAnsi="Calibri"/>
          <w:sz w:val="22"/>
          <w:szCs w:val="22"/>
        </w:rPr>
        <w:t xml:space="preserve">Campos de entrada editáveis para os números agregados, permitindo que a própria Databurgo (ou outra pequena empresa) atualize o diagnóstico com dados de períodos futuros, sem depender de nova análise externa;</w:t>
      </w:r>
    </w:p>
    <w:p>
      <w:pPr>
        <w:pStyle w:val="ListParagraph"/>
        <w:numPr>
          <w:ilvl w:val="0"/>
          <w:numId w:val="1"/>
        </w:numPr>
        <w:spacing w:after="100" w:line="276"/>
      </w:pPr>
      <w:r>
        <w:rPr>
          <w:rFonts w:ascii="Calibri" w:cs="Calibri" w:eastAsia="Calibri" w:hAnsi="Calibri"/>
          <w:sz w:val="22"/>
          <w:szCs w:val="22"/>
        </w:rPr>
        <w:t xml:space="preserve">Uma seção de leitura textual (Data Storytelling) antes dos gráficos, contextualizando a pergunta que motiva cada indicador antes de mostrar o número correspondente.</w:t>
      </w:r>
    </w:p>
    <w:p>
      <w:pPr>
        <w:pStyle w:val="Heading1"/>
        <w:spacing w:after="200" w:before="400"/>
      </w:pPr>
      <w:r>
        <w:t xml:space="preserve">8. Principais Análises Realizadas</w:t>
      </w:r>
    </w:p>
    <w:p>
      <w:pPr>
        <w:spacing w:after="200" w:line="276"/>
        <w:jc w:val="both"/>
      </w:pPr>
      <w:r>
        <w:rPr>
          <w:rFonts w:ascii="Calibri" w:cs="Calibri" w:eastAsia="Calibri" w:hAnsi="Calibri"/>
          <w:sz w:val="22"/>
          <w:szCs w:val="22"/>
        </w:rPr>
        <w:t xml:space="preserve">A partir dos dados agregados fornecidos pela Databurgo, foram realizados os seguintes cálculos:</w:t>
      </w:r>
    </w:p>
    <w:p>
      <w:pPr>
        <w:pStyle w:val="ListParagraph"/>
        <w:numPr>
          <w:ilvl w:val="0"/>
          <w:numId w:val="1"/>
        </w:numPr>
        <w:spacing w:after="100" w:line="276"/>
      </w:pPr>
      <w:r>
        <w:rPr>
          <w:rFonts w:ascii="Calibri" w:cs="Calibri" w:eastAsia="Calibri" w:hAnsi="Calibri"/>
          <w:sz w:val="22"/>
          <w:szCs w:val="22"/>
        </w:rPr>
        <w:t xml:space="preserve">Conversão do churn acumulado no período de 6 meses (5 cancelamentos sobre a base inicial de 38 clientes) em uma taxa de churn mensal equivalente, resultando em aproximadamente 2,32% ao mês;</w:t>
      </w:r>
    </w:p>
    <w:p>
      <w:pPr>
        <w:pStyle w:val="ListParagraph"/>
        <w:numPr>
          <w:ilvl w:val="0"/>
          <w:numId w:val="1"/>
        </w:numPr>
        <w:spacing w:after="100" w:line="276"/>
      </w:pPr>
      <w:r>
        <w:rPr>
          <w:rFonts w:ascii="Calibri" w:cs="Calibri" w:eastAsia="Calibri" w:hAnsi="Calibri"/>
          <w:sz w:val="22"/>
          <w:szCs w:val="22"/>
        </w:rPr>
        <w:t xml:space="preserve">Cálculo do ticket médio por cliente ativo, dividindo o MRR informado pelo número de clientes ativos ao fim do período;</w:t>
      </w:r>
    </w:p>
    <w:p>
      <w:pPr>
        <w:pStyle w:val="ListParagraph"/>
        <w:numPr>
          <w:ilvl w:val="0"/>
          <w:numId w:val="1"/>
        </w:numPr>
        <w:spacing w:after="100" w:line="276"/>
      </w:pPr>
      <w:r>
        <w:rPr>
          <w:rFonts w:ascii="Calibri" w:cs="Calibri" w:eastAsia="Calibri" w:hAnsi="Calibri"/>
          <w:sz w:val="22"/>
          <w:szCs w:val="22"/>
        </w:rPr>
        <w:t xml:space="preserve">Cálculo da taxa de cross-sell, dividindo o número de clientes com mais de um serviço (14) pelo total de clientes ativos ao fim do período (46);</w:t>
      </w:r>
    </w:p>
    <w:p>
      <w:pPr>
        <w:pStyle w:val="ListParagraph"/>
        <w:numPr>
          <w:ilvl w:val="0"/>
          <w:numId w:val="1"/>
        </w:numPr>
        <w:spacing w:after="100" w:line="276"/>
      </w:pPr>
      <w:r>
        <w:rPr>
          <w:rFonts w:ascii="Calibri" w:cs="Calibri" w:eastAsia="Calibri" w:hAnsi="Calibri"/>
          <w:sz w:val="22"/>
          <w:szCs w:val="22"/>
        </w:rPr>
        <w:t xml:space="preserve">Comparação de cada um desses valores calculados com a faixa de benchmark de mercado correspondente, classificando o resultado como acima, dentro ou abaixo do esperado para empresas do mesmo porte e segmento.</w:t>
      </w:r>
    </w:p>
    <w:p>
      <w:pPr>
        <w:pStyle w:val="Heading1"/>
        <w:spacing w:after="200" w:before="400"/>
      </w:pPr>
      <w:r>
        <w:t xml:space="preserve">9. Narrativa Construída (Data Storytelling)</w:t>
      </w:r>
    </w:p>
    <w:p>
      <w:pPr>
        <w:spacing w:after="200" w:line="276"/>
        <w:jc w:val="both"/>
      </w:pPr>
      <w:r>
        <w:rPr>
          <w:rFonts w:ascii="Calibri" w:cs="Calibri" w:eastAsia="Calibri" w:hAnsi="Calibri"/>
          <w:sz w:val="22"/>
          <w:szCs w:val="22"/>
        </w:rPr>
        <w:t xml:space="preserve">A narrativa da ferramenta segue a lógica de partir da pergunta antes da resposta, evitando abrir com o número mais complexo ou com uma conclusão pronta. A sequência construída é a seguinte:</w:t>
      </w:r>
    </w:p>
    <w:p>
      <w:pPr>
        <w:spacing w:after="200" w:line="276"/>
        <w:jc w:val="both"/>
      </w:pPr>
      <w:r>
        <w:rPr>
          <w:rFonts w:ascii="Calibri" w:cs="Calibri" w:eastAsia="Calibri" w:hAnsi="Calibri"/>
          <w:b/>
          <w:bCs/>
          <w:sz w:val="22"/>
          <w:szCs w:val="22"/>
        </w:rPr>
        <w:t xml:space="preserve">Pergunta inicial: </w:t>
      </w:r>
      <w:r>
        <w:rPr>
          <w:rFonts w:ascii="Calibri" w:cs="Calibri" w:eastAsia="Calibri" w:hAnsi="Calibri"/>
          <w:sz w:val="22"/>
          <w:szCs w:val="22"/>
        </w:rPr>
        <w:t xml:space="preserve">"comparada a outras pequenas empresas de tecnologia, a Databurgo está perdendo clientes rápido demais — ou está indo bem, só que sem saber disso?"</w:t>
      </w:r>
    </w:p>
    <w:p>
      <w:pPr>
        <w:spacing w:after="200" w:line="276"/>
        <w:jc w:val="both"/>
      </w:pPr>
      <w:r>
        <w:rPr>
          <w:rFonts w:ascii="Calibri" w:cs="Calibri" w:eastAsia="Calibri" w:hAnsi="Calibri"/>
          <w:sz w:val="22"/>
          <w:szCs w:val="22"/>
        </w:rPr>
        <w:t xml:space="preserve">A partir dessa pergunta, o dashboard conduz o usuário por três etapas: primeiro, um panorama geral da carteira (quantos clientes, quanto de receita recorrente); em seguida, o indicador central de retenção (churn mensal) comparado ao benchmark de mercado; e, por fim, os indicadores complementares de relacionamento (cross-sell) e de percepção (satisfação), estes últimos apresentados com a ressalva de que a satisfação é uma autoavaliação, não uma pesquisa formal.</w:t>
      </w:r>
    </w:p>
    <w:p>
      <w:pPr>
        <w:spacing w:after="200" w:line="276"/>
        <w:jc w:val="both"/>
      </w:pPr>
      <w:r>
        <w:rPr>
          <w:rFonts w:ascii="Calibri" w:cs="Calibri" w:eastAsia="Calibri" w:hAnsi="Calibri"/>
          <w:sz w:val="22"/>
          <w:szCs w:val="22"/>
        </w:rPr>
        <w:t xml:space="preserve">Essa sequência evita apresentar volume de clientes (crescimento de 38 para 46) como indicador de desempenho isolado — ilustrado em aula como um erro comum, já que volume, retenção e receita podem contar histórias diferentes sobre o mesmo negócio — e conduz o leitor até a conclusão de que o crescimento da base só é uma boa notícia quando lido em conjunto com uma taxa de churn saudável.</w:t>
      </w:r>
    </w:p>
    <w:p>
      <w:pPr>
        <w:pStyle w:val="Heading1"/>
        <w:spacing w:after="200" w:before="400"/>
      </w:pPr>
      <w:r>
        <w:t xml:space="preserve">10. Principais Resultados Obtidos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600"/>
        <w:gridCol w:w="2200"/>
      </w:tblGrid>
      <w:tr>
        <w:trPr>
          <w:tblHeader/>
        </w:trPr>
        <w:tc>
          <w:tcPr>
            <w:tcW w:type="dxa" w:w="2600"/>
            <w:shd w:fill="1F4E79" w:val="clear"/>
            <w:vAlign w:val="center"/>
          </w:tcPr>
          <w:p>
            <w:pPr>
              <w:jc w:val="left"/>
            </w:pPr>
            <w:r>
              <w:rPr>
                <w:rFonts w:ascii="Calibri" w:cs="Calibri" w:eastAsia="Calibri" w:hAnsi="Calibri"/>
                <w:b/>
                <w:bCs/>
                <w:color w:val="FFFFFF"/>
                <w:sz w:val="20"/>
                <w:szCs w:val="20"/>
              </w:rPr>
              <w:t xml:space="preserve">Indicador</w:t>
            </w:r>
          </w:p>
        </w:tc>
        <w:tc>
          <w:tcPr>
            <w:tcW w:type="dxa" w:w="2400"/>
            <w:shd w:fill="1F4E79" w:val="clear"/>
            <w:vAlign w:val="center"/>
          </w:tcPr>
          <w:p>
            <w:pPr>
              <w:jc w:val="left"/>
            </w:pPr>
            <w:r>
              <w:rPr>
                <w:rFonts w:ascii="Calibri" w:cs="Calibri" w:eastAsia="Calibri" w:hAnsi="Calibri"/>
                <w:b/>
                <w:bCs/>
                <w:color w:val="FFFFFF"/>
                <w:sz w:val="20"/>
                <w:szCs w:val="20"/>
              </w:rPr>
              <w:t xml:space="preserve">Databurgo (mar–ago/2026)</w:t>
            </w:r>
          </w:p>
        </w:tc>
        <w:tc>
          <w:tcPr>
            <w:tcW w:type="dxa" w:w="2600"/>
            <w:shd w:fill="1F4E79" w:val="clear"/>
            <w:vAlign w:val="center"/>
          </w:tcPr>
          <w:p>
            <w:pPr>
              <w:jc w:val="left"/>
            </w:pPr>
            <w:r>
              <w:rPr>
                <w:rFonts w:ascii="Calibri" w:cs="Calibri" w:eastAsia="Calibri" w:hAnsi="Calibri"/>
                <w:b/>
                <w:bCs/>
                <w:color w:val="FFFFFF"/>
                <w:sz w:val="20"/>
                <w:szCs w:val="20"/>
              </w:rPr>
              <w:t xml:space="preserve">Benchmark de mercado</w:t>
            </w:r>
          </w:p>
        </w:tc>
        <w:tc>
          <w:tcPr>
            <w:tcW w:type="dxa" w:w="2200"/>
            <w:shd w:fill="1F4E79" w:val="clear"/>
            <w:vAlign w:val="center"/>
          </w:tcPr>
          <w:p>
            <w:pPr>
              <w:jc w:val="left"/>
            </w:pPr>
            <w:r>
              <w:rPr>
                <w:rFonts w:ascii="Calibri" w:cs="Calibri" w:eastAsia="Calibri" w:hAnsi="Calibri"/>
                <w:b/>
                <w:bCs/>
                <w:color w:val="FFFFFF"/>
                <w:sz w:val="20"/>
                <w:szCs w:val="20"/>
              </w:rPr>
              <w:t xml:space="preserve">Leitura</w:t>
            </w:r>
          </w:p>
        </w:tc>
      </w:tr>
      <w:tr>
        <w:tc>
          <w:tcPr>
            <w:tcW w:type="dxa" w:w="2600"/>
            <w:vAlign w:val="center"/>
          </w:tcPr>
          <w:p>
            <w:pPr>
              <w:jc w:val="left"/>
            </w:pPr>
            <w:r>
              <w:rPr>
                <w:rFonts w:ascii="Calibri" w:cs="Calibri" w:eastAsia="Calibri" w:hAnsi="Calibri"/>
                <w:b w:val="false"/>
                <w:bCs w:val="false"/>
                <w:sz w:val="20"/>
                <w:szCs w:val="20"/>
              </w:rPr>
              <w:t xml:space="preserve">Churn mensal (equivalente)</w:t>
            </w:r>
          </w:p>
        </w:tc>
        <w:tc>
          <w:tcPr>
            <w:tcW w:type="dxa" w:w="2400"/>
            <w:vAlign w:val="center"/>
          </w:tcPr>
          <w:p>
            <w:pPr>
              <w:jc w:val="left"/>
            </w:pPr>
            <w:r>
              <w:rPr>
                <w:rFonts w:ascii="Calibri" w:cs="Calibri" w:eastAsia="Calibri" w:hAnsi="Calibri"/>
                <w:b w:val="false"/>
                <w:bCs w:val="false"/>
                <w:sz w:val="20"/>
                <w:szCs w:val="20"/>
              </w:rPr>
              <w:t xml:space="preserve">≈ 2,32% ao mês</w:t>
            </w:r>
          </w:p>
        </w:tc>
        <w:tc>
          <w:tcPr>
            <w:tcW w:type="dxa" w:w="2600"/>
            <w:vAlign w:val="center"/>
          </w:tcPr>
          <w:p>
            <w:pPr>
              <w:jc w:val="left"/>
            </w:pPr>
            <w:r>
              <w:rPr>
                <w:rFonts w:ascii="Calibri" w:cs="Calibri" w:eastAsia="Calibri" w:hAnsi="Calibri"/>
                <w:b w:val="false"/>
                <w:bCs w:val="false"/>
                <w:sz w:val="20"/>
                <w:szCs w:val="20"/>
              </w:rPr>
              <w:t xml:space="preserve">3% a 5% ao mês é considerado saudável para pequenas empresas de tecnologia/agências</w:t>
            </w:r>
          </w:p>
        </w:tc>
        <w:tc>
          <w:tcPr>
            <w:tcW w:type="dxa" w:w="2200"/>
            <w:vAlign w:val="center"/>
          </w:tcPr>
          <w:p>
            <w:pPr>
              <w:jc w:val="left"/>
            </w:pPr>
            <w:r>
              <w:rPr>
                <w:rFonts w:ascii="Calibri" w:cs="Calibri" w:eastAsia="Calibri" w:hAnsi="Calibri"/>
                <w:b w:val="false"/>
                <w:bCs w:val="false"/>
                <w:sz w:val="20"/>
                <w:szCs w:val="20"/>
              </w:rPr>
              <w:t xml:space="preserve">Dentro do esperado, melhor que a faixa saudável</w:t>
            </w:r>
          </w:p>
        </w:tc>
      </w:tr>
      <w:tr>
        <w:tc>
          <w:tcPr>
            <w:tcW w:type="dxa" w:w="2600"/>
            <w:vAlign w:val="center"/>
          </w:tcPr>
          <w:p>
            <w:pPr>
              <w:jc w:val="left"/>
            </w:pPr>
            <w:r>
              <w:rPr>
                <w:rFonts w:ascii="Calibri" w:cs="Calibri" w:eastAsia="Calibri" w:hAnsi="Calibri"/>
                <w:b w:val="false"/>
                <w:bCs w:val="false"/>
                <w:sz w:val="20"/>
                <w:szCs w:val="20"/>
              </w:rPr>
              <w:t xml:space="preserve">Ticket médio por cliente</w:t>
            </w:r>
          </w:p>
        </w:tc>
        <w:tc>
          <w:tcPr>
            <w:tcW w:type="dxa" w:w="2400"/>
            <w:vAlign w:val="center"/>
          </w:tcPr>
          <w:p>
            <w:pPr>
              <w:jc w:val="left"/>
            </w:pPr>
            <w:r>
              <w:rPr>
                <w:rFonts w:ascii="Calibri" w:cs="Calibri" w:eastAsia="Calibri" w:hAnsi="Calibri"/>
                <w:b w:val="false"/>
                <w:bCs w:val="false"/>
                <w:sz w:val="20"/>
                <w:szCs w:val="20"/>
              </w:rPr>
              <w:t xml:space="preserve">≈ R$ 424 – R$ 435</w:t>
            </w:r>
          </w:p>
        </w:tc>
        <w:tc>
          <w:tcPr>
            <w:tcW w:type="dxa" w:w="2600"/>
            <w:vAlign w:val="center"/>
          </w:tcPr>
          <w:p>
            <w:pPr>
              <w:jc w:val="left"/>
            </w:pPr>
            <w:r>
              <w:rPr>
                <w:rFonts w:ascii="Calibri" w:cs="Calibri" w:eastAsia="Calibri" w:hAnsi="Calibri"/>
                <w:b w:val="false"/>
                <w:bCs w:val="false"/>
                <w:sz w:val="20"/>
                <w:szCs w:val="20"/>
              </w:rPr>
              <w:t xml:space="preserve">Varia por segmento; usado como referência interna, não comparado a benchmark externo</w:t>
            </w:r>
          </w:p>
        </w:tc>
        <w:tc>
          <w:tcPr>
            <w:tcW w:type="dxa" w:w="2200"/>
            <w:vAlign w:val="center"/>
          </w:tcPr>
          <w:p>
            <w:pPr>
              <w:jc w:val="left"/>
            </w:pPr>
            <w:r>
              <w:rPr>
                <w:rFonts w:ascii="Calibri" w:cs="Calibri" w:eastAsia="Calibri" w:hAnsi="Calibri"/>
                <w:b w:val="false"/>
                <w:bCs w:val="false"/>
                <w:sz w:val="20"/>
                <w:szCs w:val="20"/>
              </w:rPr>
              <w:t xml:space="preserve">Indicador de acompanhamento financeiro</w:t>
            </w:r>
          </w:p>
        </w:tc>
      </w:tr>
      <w:tr>
        <w:tc>
          <w:tcPr>
            <w:tcW w:type="dxa" w:w="2600"/>
            <w:vAlign w:val="center"/>
          </w:tcPr>
          <w:p>
            <w:pPr>
              <w:jc w:val="left"/>
            </w:pPr>
            <w:r>
              <w:rPr>
                <w:rFonts w:ascii="Calibri" w:cs="Calibri" w:eastAsia="Calibri" w:hAnsi="Calibri"/>
                <w:b w:val="false"/>
                <w:bCs w:val="false"/>
                <w:sz w:val="20"/>
                <w:szCs w:val="20"/>
              </w:rPr>
              <w:t xml:space="preserve">Taxa de cross-sell</w:t>
            </w:r>
          </w:p>
        </w:tc>
        <w:tc>
          <w:tcPr>
            <w:tcW w:type="dxa" w:w="2400"/>
            <w:vAlign w:val="center"/>
          </w:tcPr>
          <w:p>
            <w:pPr>
              <w:jc w:val="left"/>
            </w:pPr>
            <w:r>
              <w:rPr>
                <w:rFonts w:ascii="Calibri" w:cs="Calibri" w:eastAsia="Calibri" w:hAnsi="Calibri"/>
                <w:b w:val="false"/>
                <w:bCs w:val="false"/>
                <w:sz w:val="20"/>
                <w:szCs w:val="20"/>
              </w:rPr>
              <w:t xml:space="preserve">≈ 30% a 35% da base</w:t>
            </w:r>
          </w:p>
        </w:tc>
        <w:tc>
          <w:tcPr>
            <w:tcW w:type="dxa" w:w="2600"/>
            <w:vAlign w:val="center"/>
          </w:tcPr>
          <w:p>
            <w:pPr>
              <w:jc w:val="left"/>
            </w:pPr>
            <w:r>
              <w:rPr>
                <w:rFonts w:ascii="Calibri" w:cs="Calibri" w:eastAsia="Calibri" w:hAnsi="Calibri"/>
                <w:b w:val="false"/>
                <w:bCs w:val="false"/>
                <w:sz w:val="20"/>
                <w:szCs w:val="20"/>
              </w:rPr>
              <w:t xml:space="preserve">Não há benchmark público consolidado para o segmento; tratado como linha de base própria da empresa</w:t>
            </w:r>
          </w:p>
        </w:tc>
        <w:tc>
          <w:tcPr>
            <w:tcW w:type="dxa" w:w="2200"/>
            <w:vAlign w:val="center"/>
          </w:tcPr>
          <w:p>
            <w:pPr>
              <w:jc w:val="left"/>
            </w:pPr>
            <w:r>
              <w:rPr>
                <w:rFonts w:ascii="Calibri" w:cs="Calibri" w:eastAsia="Calibri" w:hAnsi="Calibri"/>
                <w:b w:val="false"/>
                <w:bCs w:val="false"/>
                <w:sz w:val="20"/>
                <w:szCs w:val="20"/>
              </w:rPr>
              <w:t xml:space="preserve">Oportunidade de crescimento identificada</w:t>
            </w:r>
          </w:p>
        </w:tc>
      </w:tr>
      <w:tr>
        <w:tc>
          <w:tcPr>
            <w:tcW w:type="dxa" w:w="2600"/>
            <w:vAlign w:val="center"/>
          </w:tcPr>
          <w:p>
            <w:pPr>
              <w:jc w:val="left"/>
            </w:pPr>
            <w:r>
              <w:rPr>
                <w:rFonts w:ascii="Calibri" w:cs="Calibri" w:eastAsia="Calibri" w:hAnsi="Calibri"/>
                <w:b w:val="false"/>
                <w:bCs w:val="false"/>
                <w:sz w:val="20"/>
                <w:szCs w:val="20"/>
              </w:rPr>
              <w:t xml:space="preserve">Satisfação percebida (autoavaliação)</w:t>
            </w:r>
          </w:p>
        </w:tc>
        <w:tc>
          <w:tcPr>
            <w:tcW w:type="dxa" w:w="2400"/>
            <w:vAlign w:val="center"/>
          </w:tcPr>
          <w:p>
            <w:pPr>
              <w:jc w:val="left"/>
            </w:pPr>
            <w:r>
              <w:rPr>
                <w:rFonts w:ascii="Calibri" w:cs="Calibri" w:eastAsia="Calibri" w:hAnsi="Calibri"/>
                <w:b w:val="false"/>
                <w:bCs w:val="false"/>
                <w:sz w:val="20"/>
                <w:szCs w:val="20"/>
              </w:rPr>
              <w:t xml:space="preserve">8,5 a 9,0 (escala 0–10)</w:t>
            </w:r>
          </w:p>
        </w:tc>
        <w:tc>
          <w:tcPr>
            <w:tcW w:type="dxa" w:w="2600"/>
            <w:vAlign w:val="center"/>
          </w:tcPr>
          <w:p>
            <w:pPr>
              <w:jc w:val="left"/>
            </w:pPr>
            <w:r>
              <w:rPr>
                <w:rFonts w:ascii="Calibri" w:cs="Calibri" w:eastAsia="Calibri" w:hAnsi="Calibri"/>
                <w:b w:val="false"/>
                <w:bCs w:val="false"/>
                <w:sz w:val="20"/>
                <w:szCs w:val="20"/>
              </w:rPr>
              <w:t xml:space="preserve">Não comparável a NPS de mercado (metodologias distintas)</w:t>
            </w:r>
          </w:p>
        </w:tc>
        <w:tc>
          <w:tcPr>
            <w:tcW w:type="dxa" w:w="2200"/>
            <w:vAlign w:val="center"/>
          </w:tcPr>
          <w:p>
            <w:pPr>
              <w:jc w:val="left"/>
            </w:pPr>
            <w:r>
              <w:rPr>
                <w:rFonts w:ascii="Calibri" w:cs="Calibri" w:eastAsia="Calibri" w:hAnsi="Calibri"/>
                <w:b w:val="false"/>
                <w:bCs w:val="false"/>
                <w:sz w:val="20"/>
                <w:szCs w:val="20"/>
              </w:rPr>
              <w:t xml:space="preserve">Indicador qualitativo, tratado com ressalva</w:t>
            </w:r>
          </w:p>
        </w:tc>
      </w:tr>
    </w:tbl>
    <w:p>
      <w:pPr>
        <w:spacing w:after="200" w:line="276"/>
        <w:jc w:val="both"/>
      </w:pPr>
      <w:r>
        <w:rPr>
          <w:rFonts w:ascii="Calibri" w:cs="Calibri" w:eastAsia="Calibri" w:hAnsi="Calibri"/>
          <w:sz w:val="22"/>
          <w:szCs w:val="22"/>
        </w:rPr>
        <w:t xml:space="preserve">O resultado mais relevante é que a taxa de churn mensal calculada (≈2,32%) está dentro — na verdade, melhor do que — a faixa geralmente considerada saudável para empresas do porte e segmento da Databurgo (3% a 5% ao mês). Isso confirma, com evidência objetiva, a percepção subjetiva que o Brendo já tinha, mas não conseguia sustentar com números.</w:t>
      </w:r>
    </w:p>
    <w:p>
      <w:pPr>
        <w:pStyle w:val="Heading1"/>
        <w:spacing w:after="200" w:before="400"/>
      </w:pPr>
      <w:r>
        <w:t xml:space="preserve">11. Contribuições da Solução para a Organização Parceira</w:t>
      </w:r>
    </w:p>
    <w:p>
      <w:pPr>
        <w:pStyle w:val="ListParagraph"/>
        <w:numPr>
          <w:ilvl w:val="0"/>
          <w:numId w:val="1"/>
        </w:numPr>
        <w:spacing w:after="100" w:line="276"/>
      </w:pPr>
      <w:r>
        <w:rPr>
          <w:rFonts w:ascii="Calibri" w:cs="Calibri" w:eastAsia="Calibri" w:hAnsi="Calibri"/>
          <w:sz w:val="22"/>
          <w:szCs w:val="22"/>
        </w:rPr>
        <w:t xml:space="preserve">Pela primeira vez, a Databurgo passa a ter uma leitura objetiva — e não apenas intuitiva — de que sua retenção de clientes está em nível saudável frente ao mercado, o que ajuda a evitar reações desproporcionais a cancelamentos pontuais;</w:t>
      </w:r>
    </w:p>
    <w:p>
      <w:pPr>
        <w:pStyle w:val="ListParagraph"/>
        <w:numPr>
          <w:ilvl w:val="0"/>
          <w:numId w:val="1"/>
        </w:numPr>
        <w:spacing w:after="100" w:line="276"/>
      </w:pPr>
      <w:r>
        <w:rPr>
          <w:rFonts w:ascii="Calibri" w:cs="Calibri" w:eastAsia="Calibri" w:hAnsi="Calibri"/>
          <w:sz w:val="22"/>
          <w:szCs w:val="22"/>
        </w:rPr>
        <w:t xml:space="preserve">A identificação de que apenas 30–35% da base contrata mais de um serviço aponta uma oportunidade concreta de crescimento de receita via cross-sell, sem necessidade de captação de novos clientes;</w:t>
      </w:r>
    </w:p>
    <w:p>
      <w:pPr>
        <w:pStyle w:val="ListParagraph"/>
        <w:numPr>
          <w:ilvl w:val="0"/>
          <w:numId w:val="1"/>
        </w:numPr>
        <w:spacing w:after="100" w:line="276"/>
      </w:pPr>
      <w:r>
        <w:rPr>
          <w:rFonts w:ascii="Calibri" w:cs="Calibri" w:eastAsia="Calibri" w:hAnsi="Calibri"/>
          <w:sz w:val="22"/>
          <w:szCs w:val="22"/>
        </w:rPr>
        <w:t xml:space="preserve">A ferramenta desenvolvida em Streamlit fica disponível para reutilização contínua pela empresa: a cada novo período, o Brendo pode inserir os números atualizados e repetir o diagnóstico, sem depender de nova análise externa.</w:t>
      </w:r>
    </w:p>
    <w:p>
      <w:pPr>
        <w:pStyle w:val="Heading1"/>
        <w:spacing w:after="200" w:before="400"/>
      </w:pPr>
      <w:r>
        <w:t xml:space="preserve">12. Conclusões e Recomendações</w:t>
      </w:r>
    </w:p>
    <w:p>
      <w:pPr>
        <w:spacing w:after="200" w:line="276"/>
        <w:jc w:val="both"/>
      </w:pPr>
      <w:r>
        <w:rPr>
          <w:rFonts w:ascii="Calibri" w:cs="Calibri" w:eastAsia="Calibri" w:hAnsi="Calibri"/>
          <w:sz w:val="22"/>
          <w:szCs w:val="22"/>
        </w:rPr>
        <w:t xml:space="preserve">O projeto demonstrou que é possível transformar números agregados simples — já disponíveis em qualquer pequena empresa, mesmo sem estrutura de BI — em um diagnóstico objetivo e comparável a benchmarks de mercado, sem a necessidade de simular dados individuais de clientes. Essa abordagem respeitou tanto a limitação real de dados da organização parceira quanto o princípio de não avaliar desempenho a partir de métricas isoladas ou de dados exclusivamente subjetivos.</w:t>
      </w:r>
    </w:p>
    <w:p>
      <w:pPr>
        <w:spacing w:after="200" w:line="276"/>
        <w:jc w:val="both"/>
      </w:pPr>
      <w:r>
        <w:rPr>
          <w:rFonts w:ascii="Calibri" w:cs="Calibri" w:eastAsia="Calibri" w:hAnsi="Calibri"/>
          <w:sz w:val="22"/>
          <w:szCs w:val="22"/>
        </w:rPr>
        <w:t xml:space="preserve">Como recomendações à Databurgo, sugere-se:</w:t>
      </w:r>
    </w:p>
    <w:p>
      <w:pPr>
        <w:pStyle w:val="ListParagraph"/>
        <w:numPr>
          <w:ilvl w:val="0"/>
          <w:numId w:val="1"/>
        </w:numPr>
        <w:spacing w:after="100" w:line="276"/>
      </w:pPr>
      <w:r>
        <w:rPr>
          <w:rFonts w:ascii="Calibri" w:cs="Calibri" w:eastAsia="Calibri" w:hAnsi="Calibri"/>
          <w:sz w:val="22"/>
          <w:szCs w:val="22"/>
        </w:rPr>
        <w:t xml:space="preserve">Implementar um registro estruturado — ainda que simples, como uma planilha — do motivo de cada cancelamento, permitindo no futuro segmentar o churn por causa e não apenas medi-lo em total;</w:t>
      </w:r>
    </w:p>
    <w:p>
      <w:pPr>
        <w:pStyle w:val="ListParagraph"/>
        <w:numPr>
          <w:ilvl w:val="0"/>
          <w:numId w:val="1"/>
        </w:numPr>
        <w:spacing w:after="100" w:line="276"/>
      </w:pPr>
      <w:r>
        <w:rPr>
          <w:rFonts w:ascii="Calibri" w:cs="Calibri" w:eastAsia="Calibri" w:hAnsi="Calibri"/>
          <w:sz w:val="22"/>
          <w:szCs w:val="22"/>
        </w:rPr>
        <w:t xml:space="preserve">Substituir gradualmente a autoavaliação subjetiva de satisfação por uma pesquisa formal e periódica de CSAT ou NPS aplicada diretamente aos clientes;</w:t>
      </w:r>
    </w:p>
    <w:p>
      <w:pPr>
        <w:pStyle w:val="ListParagraph"/>
        <w:numPr>
          <w:ilvl w:val="0"/>
          <w:numId w:val="1"/>
        </w:numPr>
        <w:spacing w:after="100" w:line="276"/>
      </w:pPr>
      <w:r>
        <w:rPr>
          <w:rFonts w:ascii="Calibri" w:cs="Calibri" w:eastAsia="Calibri" w:hAnsi="Calibri"/>
          <w:sz w:val="22"/>
          <w:szCs w:val="22"/>
        </w:rPr>
        <w:t xml:space="preserve">Medir objetivamente o tempo de resposta ao suporte antes de tratá-lo como indicador de desempenho, já que hoje ele é apenas percepção;</w:t>
      </w:r>
    </w:p>
    <w:p>
      <w:pPr>
        <w:pStyle w:val="ListParagraph"/>
        <w:numPr>
          <w:ilvl w:val="0"/>
          <w:numId w:val="1"/>
        </w:numPr>
        <w:spacing w:after="100" w:line="276"/>
      </w:pPr>
      <w:r>
        <w:rPr>
          <w:rFonts w:ascii="Calibri" w:cs="Calibri" w:eastAsia="Calibri" w:hAnsi="Calibri"/>
          <w:sz w:val="22"/>
          <w:szCs w:val="22"/>
        </w:rPr>
        <w:t xml:space="preserve">Repetir este diagnóstico periodicamente (sugestão: trimestral), acompanhando a tendência dos indicadores ao longo do tempo, e não apenas o retrato pontual de um único período.</w:t>
      </w:r>
    </w:p>
    <w:p>
      <w:pPr>
        <w:spacing w:after="200" w:line="276"/>
        <w:jc w:val="both"/>
      </w:pPr>
      <w:r>
        <w:rPr>
          <w:rFonts w:ascii="Calibri" w:cs="Calibri" w:eastAsia="Calibri" w:hAnsi="Calibri"/>
          <w:sz w:val="22"/>
          <w:szCs w:val="22"/>
        </w:rPr>
        <w:t xml:space="preserve">Como limitações do estudo, destacam-se: os dados cobrem uma única empresa e uma janela de apenas seis meses; o indicador de satisfação é uma autoavaliação do fundador, não uma pesquisa formal; e não há benchmark público consolidado de cross-sell específico para o segmento de pequenas empresas de desenvolvimento web, o que limitou essa comparação a uma linha de base interna.</w:t>
      </w:r>
    </w:p>
    <w:p>
      <w:pPr>
        <w:pStyle w:val="Heading1"/>
        <w:spacing w:after="200" w:before="400"/>
      </w:pPr>
      <w:r>
        <w:t xml:space="preserve">Referências</w:t>
      </w:r>
    </w:p>
    <w:p>
      <w:pPr>
        <w:spacing w:after="200" w:line="276"/>
        <w:jc w:val="left"/>
      </w:pPr>
      <w:r>
        <w:rPr>
          <w:rFonts w:ascii="Calibri" w:cs="Calibri" w:eastAsia="Calibri" w:hAnsi="Calibri"/>
          <w:sz w:val="22"/>
          <w:szCs w:val="22"/>
        </w:rPr>
        <w:t xml:space="preserve">INBLOG.AI. Churn Rate: benchmarks de SaaS. Disponível em: https://inblog.ai/pt-BR/glossary/churn-rate. Acesso em 2026.</w:t>
      </w:r>
    </w:p>
    <w:p>
      <w:pPr>
        <w:spacing w:after="200" w:line="276"/>
        <w:jc w:val="left"/>
      </w:pPr>
      <w:r>
        <w:rPr>
          <w:rFonts w:ascii="Calibri" w:cs="Calibri" w:eastAsia="Calibri" w:hAnsi="Calibri"/>
          <w:sz w:val="22"/>
          <w:szCs w:val="22"/>
        </w:rPr>
        <w:t xml:space="preserve">GURUSUP. Calculadora de Churn Rate — benchmarks de mercado. Disponível em: https://gurusup.com/es/tools/churn-rate-calculator. Acesso em 2026.</w:t>
      </w:r>
    </w:p>
    <w:p>
      <w:pPr>
        <w:spacing w:after="200" w:line="276"/>
        <w:jc w:val="left"/>
      </w:pPr>
      <w:r>
        <w:rPr>
          <w:rFonts w:ascii="Calibri" w:cs="Calibri" w:eastAsia="Calibri" w:hAnsi="Calibri"/>
          <w:sz w:val="22"/>
          <w:szCs w:val="22"/>
        </w:rPr>
        <w:t xml:space="preserve">KIVOPOST. What is Churn Rate? Disponível em: https://kivopost.com/glossary/analytics-metrics-reporting/churn-rate. Acesso em 2026.</w:t>
      </w:r>
    </w:p>
    <w:p>
      <w:pPr>
        <w:spacing w:after="200" w:line="276"/>
        <w:jc w:val="left"/>
      </w:pPr>
      <w:r>
        <w:rPr>
          <w:rFonts w:ascii="Calibri" w:cs="Calibri" w:eastAsia="Calibri" w:hAnsi="Calibri"/>
          <w:sz w:val="22"/>
          <w:szCs w:val="22"/>
        </w:rPr>
        <w:t xml:space="preserve">QUESTIONPRO. Benchmarks do NPS para 13 indústrias diferentes. Disponível em: https://www.questionpro.com/blog/pt-br/benchmarks-do-nps-para-13-industrias-diferentes/. Acesso em 2026.</w:t>
      </w:r>
    </w:p>
    <w:p>
      <w:pPr>
        <w:spacing w:after="200" w:line="276"/>
        <w:jc w:val="left"/>
      </w:pPr>
      <w:r>
        <w:rPr>
          <w:rFonts w:ascii="Calibri" w:cs="Calibri" w:eastAsia="Calibri" w:hAnsi="Calibri"/>
          <w:sz w:val="22"/>
          <w:szCs w:val="22"/>
        </w:rPr>
        <w:t xml:space="preserve">SANTOS, Thalles Bruno Gonçalves Nery dos. Proposta do Projeto Integrador V-A. Goiânia: PUC Goiás, 2026.</w:t>
      </w:r>
    </w:p>
    <w:p>
      <w:pPr>
        <w:spacing w:after="200" w:line="276"/>
        <w:jc w:val="left"/>
      </w:pPr>
      <w:r>
        <w:rPr>
          <w:rFonts w:ascii="Calibri" w:cs="Calibri" w:eastAsia="Calibri" w:hAnsi="Calibri"/>
          <w:sz w:val="22"/>
          <w:szCs w:val="22"/>
        </w:rPr>
        <w:t xml:space="preserve">Anotações de aula da disciplina Projeto Integrador V-A (Aulas 1, 2 e 3), ministrada pelo professor Thalles Bruno Gonçalves Nery dos Santos, 2026.</w:t>
      </w:r>
    </w:p>
    <w:sectPr>
      <w:headerReference w:type="default" r:id="rId7"/>
      <w:footerReference w:type="default" r:id="rId8"/>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Projeto Integrador V-A — Databurgo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before="400"/>
    </w:pPr>
    <w:rPr>
      <w:rFonts w:ascii="Calibri" w:cs="Calibri" w:eastAsia="Calibri" w:hAnsi="Calibri"/>
      <w:b/>
      <w:bCs/>
      <w:color w:val="1F4E79"/>
      <w:sz w:val="28"/>
      <w:szCs w:val="28"/>
    </w:rPr>
  </w:style>
  <w:style w:type="paragraph" w:styleId="Heading2">
    <w:name w:val="Heading 2"/>
    <w:basedOn w:val="Normal"/>
    <w:next w:val="Normal"/>
    <w:pPr>
      <w:spacing w:after="150" w:before="300"/>
    </w:pPr>
    <w:rPr>
      <w:rFonts w:ascii="Calibri" w:cs="Calibri" w:eastAsia="Calibri" w:hAnsi="Calibri"/>
      <w:b/>
      <w:bCs/>
      <w:color w:val="2E74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2026-09-05T19:02:55.204Z</dcterms:created>
  <dcterms:modified xsi:type="dcterms:W3CDTF">2026-09-05T19:02:55.219Z</dcterms:modified>
</cp:coreProperties>
</file>

<file path=docProps/custom.xml><?xml version="1.0" encoding="utf-8"?>
<Properties xmlns="http://schemas.openxmlformats.org/officeDocument/2006/custom-properties" xmlns:vt="http://schemas.openxmlformats.org/officeDocument/2006/docPropsVTypes"/>
</file>