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PONTIFÍCIA UNIVERSIDADE CATÓLICA DE GOIÁS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COORDENAÇÃO ENSINO A DISTÂNCIA – CEAD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ESCOLA POLITÉCNICA E DE ARTES</w:t>
      </w:r>
    </w:p>
    <w:p>
      <w:pPr>
        <w:spacing w:after="1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BIG DATA E INTELIGÊNCIA ARTIFICIAL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PROJETO INTEGRADOR V-A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RELATÓRIO TÉCNICO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Diagnóstico de Indicadores de Retenção e Relacionamento com Clientes: uma Ferramenta Comparativa de Benchmarks de Mercado para a Databurgo Brasil Tecnologia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Giancarlo Neves da Cruz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Matrícula: 2025 2.0792.0007-3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Organização parceira: Databurgo Brasil Tecnologia LTDA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Professor: Thalles Bruno Gonçalves Nery dos Santos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GOIÂNIA,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Identificação e Contextualização da Organização Parceira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organização parceira deste projeto é a Databurgo Brasil Tecnologia, empresa goiana de pequeno porte fundada em 01/08/2019, registrada na Receita Federal como Empresário Individual em nome de seu representante legal, Brendo Oliveira Marinho. A Databurgo presta serviços de desenvolvimento de sites, landing pages e soluções digitais para pequenos e médios clientes, atuando com dois modelos de contratação: entregas pontuais (por exemplo, criação de um site ou landing page) e contratos recorrentes de manutenção e suporte, cobrados por meio de receita recorrente mensal (MRR).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empresa não possui estrutura formal de tecnologia da informação voltada à análise de dados: o relacionamento com clientes é conduzido de forma direta e pessoal, majoritariamente via WhatsApp, sem uso de CRM, planilhas de acompanhamento sistemático ou qualquer ferramenta de Business Intelligence.</w:t>
      </w:r>
    </w:p>
    <w:p>
      <w:pPr>
        <w:pStyle w:val="Heading1"/>
        <w:spacing w:after="200" w:before="400"/>
      </w:pPr>
      <w:r>
        <w:t xml:space="preserve">2. Necessidade ou Problema Identificado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ser uma empresa pequena administrada por um único sócio-fundador, a Databurgo acompanha a saúde do relacionamento com seus clientes de forma essencialmente intuitiva. O fundador relatou, em conversa durante o levantamento de requisitos, ter a percepção ("no feeling") de que a taxa de cancelamento é baixa e o atendimento é rápido e bem avaliado, mas reconheceu não possuir nenhum indicador objetivo, cronometrado ou comparado a padrões de mercado que sustente essa percepção.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Necessidade identificada: </w:t>
      </w:r>
      <w:r>
        <w:rPr>
          <w:rFonts w:ascii="Calibri" w:cs="Calibri" w:eastAsia="Calibri" w:hAnsi="Calibri"/>
          <w:sz w:val="22"/>
          <w:szCs w:val="22"/>
        </w:rPr>
        <w:t xml:space="preserve">transformar os números agregados que a própria empresa já possui — clientes ativos, cancelamentos, receita recorrente e contratos múltiplos — em indicadores organizados e comparáveis a benchmarks de mercado, permitindo ao fundador avaliar de forma objetiva se a retenção e o relacionamento com clientes estão em nível saudável, e priorizar ações com base em evidência, e não apenas em percepção.</w:t>
      </w:r>
    </w:p>
    <w:p>
      <w:pPr>
        <w:pStyle w:val="Heading1"/>
        <w:spacing w:after="200" w:before="400"/>
      </w:pPr>
      <w:r>
        <w:t xml:space="preserve">3. Interação Realizada com a Organização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parceria foi formalizada por meio do Termo de Formalização de Atividade Disciplinar de Extensão, assinado digitalmente via gov.br por Giancarlo Neves da Cruz e por Brendo Oliveira Marinho (representante legal da Databurgo), com vigência de 27/08/2026 a 02/10/2026, e da Carta de Início das Atividades de Extensão assinada pelo professor Thalles Bruno Gonçalves Nery dos Santos.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levantamento de requisitos e dos dados ocorreu por meio de trocas diretas de mensagens com o representante da empresa, incluindo: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Definição conjunta do escopo do projeto, com foco em indicadores de retenção e relacionamento com clientes (Customer Analytics), após descartar abordagens iniciais voltadas a atendimento e infraestrutura;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Fornecimento, pelo Brendo, de dados agregados reais referentes ao período de março a agosto de 2026 (6 meses);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Mensagem de voz do Brendo esclarecendo que o tempo de resposta ao suporte não é cronometrado nem registrado em planilha — sua percepção de rapidez é baseada em "feeling", já que a maioria dos chamados chega direto pelo WhatsApp e costuma ser respondida no mesmo turno.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importante registrar, com transparência, uma limitação desta interação: os dados de satisfação utilizados neste relatório são uma autoavaliação do próprio fundador da empresa parceira, não o resultado de uma pesquisa formal de satisfação (CSAT/NPS) aplicada à carteira de clientes da Databurgo. Essa limitação é discutida nas seções 6 e 12.</w:t>
      </w:r>
    </w:p>
    <w:p>
      <w:pPr>
        <w:pStyle w:val="Heading1"/>
        <w:spacing w:after="200" w:before="400"/>
      </w:pPr>
      <w:r>
        <w:t xml:space="preserve">4. Objetivos do Projeto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geral: </w:t>
      </w:r>
      <w:r>
        <w:rPr>
          <w:rFonts w:ascii="Calibri" w:cs="Calibri" w:eastAsia="Calibri" w:hAnsi="Calibri"/>
          <w:sz w:val="22"/>
          <w:szCs w:val="22"/>
        </w:rPr>
        <w:t xml:space="preserve">desenvolver uma ferramenta analítica interativa que permita à Databurgo comparar seus indicadores agregados de relacionamento com clientes a benchmarks de mercado, apoiando decisões sobre retenção, precificação e priorização comercial.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Definir um conjunto reduzido de KPIs relevantes ao contexto da empresa, cobrindo diferentes perspectivas de desempenho (financeira, cliente e relacionamento), evitando tanto a avaliação por indicador único quanto o excesso de métricas;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Levantar benchmarks de mercado confiáveis e citáveis para cada indicador definido;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Construir uma aplicação interativa em Streamlit na qual a Databurgo — ou outra pequena empresa de perfil semelhante — possa inserir seus próprios números agregados e visualizar de forma imediata como eles se posicionam frente ao mercado;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Aplicar boas práticas de visualização de dados e princípios de Data Storytelling na apresentação dos resultados.</w:t>
      </w:r>
    </w:p>
    <w:p>
      <w:pPr>
        <w:pStyle w:val="Heading1"/>
        <w:spacing w:after="200" w:before="400"/>
      </w:pPr>
      <w:r>
        <w:t xml:space="preserve">5. Descrição da Base de Dados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Diante da limitação de dados internos da organização parceira — o Brendo relatou possuir, em grande parte, apenas o histórico de conversas de WhatsApp com clientes, sem qualquer base estruturada — a base deste projeto é composta por: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Dados agregados reais fornecidos diretamente pelo Brendo, referentes ao período de março a agosto de 2026 (6 meses);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Benchmarks de mercado obtidos de fontes públicas sobre churn, cross-sell e satisfação de clientes em empresas de tecnologia e agências de pequeno porte (ver Referências).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agregados fornecidos pela Databurgo estão resumidos na tabela a seguir: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20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informado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ativos no início do período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01/03/2026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ativos no fim do período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31/08/2026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Cancelamentos no período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(majoritariamente contratos pontuais de site/landing page encerrados após a entrega)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mar–ago/2026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Receita Recorrente Mensal (MRR)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R$ 19.500 – R$ 20.000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ago/2026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com mais de um serviço contratado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(≈ 30–35% da base)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ago/2026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Satisfação percebida (autoavaliação do fundador, escala 0–10)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8,5 – 9,0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ago/2026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base foi tratada de forma agregada, comparando os totais da Databurgo a benchmarks de mercado — abordagem que evita o risco, apontado nas aulas da disciplina, de tirar conclusões de indicadores isolados sem contexto comparativo.</w:t>
      </w:r>
    </w:p>
    <w:p>
      <w:pPr>
        <w:pStyle w:val="Heading1"/>
        <w:spacing w:after="200" w:before="400"/>
      </w:pPr>
      <w:r>
        <w:t xml:space="preserve">6. Indicadores-Chave de Desempenho (KPIs)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KPIs foram definidos antes da construção de qualquer visualização, seguindo a orientação de que o indicador precisa existir e ser justificado por escrito antes do dashboard ser construído em cima dele. Optou-se por um conjunto reduzido de quatro indicadores, organizados em três perspectivas complementares — inspiradas na lógica do Balanced Scorecard apresentado na Aula 2 da disciplina — para evitar tanto o erro de avaliar desempenho por uma métrica isolada quanto o de criar uma lista extensa e inviável de acompanhar.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indicador é documentado a seguir em formato de ficha padronizada — nome, pergunta de negócio que motiva o indicador, fórmula de cálculo, fonte dos dados, periodicidade recomendada, referência de comparação, leitura por semáforo e ação esperada — seguindo o mesmo padrão de documentação de KPI demonstrado pelo professor Thalles no material de apoio da disciplina ("Do dado ao dashboard"), o que garante que cada métrica seja definida, comparável, acionável, rastreável e periódica.</w:t>
      </w:r>
    </w:p>
    <w:p>
      <w:pPr>
        <w:pStyle w:val="Heading2"/>
        <w:spacing w:after="150" w:before="300"/>
      </w:pPr>
      <w:r>
        <w:t xml:space="preserve">6.1. Perspectiva Financeira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Ficha de KPI — MRR e Ticket Médio por Cliente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Receita Recorrente Mensal (MRR) e Ticket Médio por Cliente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 de negócio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 é o tamanho da receita recorrente da empresa e como ela está distribuída entre os clientes ativos?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MRR = valor informado pela empresa; Ticket médio = MRR ÷ clientes ativos no fim do período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 e colunas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Dados agregados informados pela Databurgo (mrr, clientes_ativos_fim)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Mensal, com acompanhamento recomendado a cada novo período de reporte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de base interna da própria empresa (sem benchmark externo específico para o segmento de desenvolvimento web de pequeno porte)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6"/>
        <w:gridCol w:w="3067"/>
      </w:tblGrid>
      <w:tr>
        <w:tc>
          <w:tcPr>
            <w:tcW w:type="dxa" w:w="3067"/>
            <w:shd w:fill="2E7D3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🟢 SAUDÁVEL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Ticket médio estável ou em alta</w:t>
            </w:r>
          </w:p>
        </w:tc>
        <w:tc>
          <w:tcPr>
            <w:tcW w:type="dxa" w:w="3066"/>
            <w:shd w:fill="F9A82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4200"/>
                <w:sz w:val="20"/>
                <w:szCs w:val="20"/>
              </w:rPr>
              <w:t xml:space="preserve">🟡 ATENÇÃO</w:t>
            </w:r>
          </w:p>
          <w:p>
            <w:r>
              <w:rPr>
                <w:rFonts w:ascii="Calibri" w:cs="Calibri" w:eastAsia="Calibri" w:hAnsi="Calibri"/>
                <w:color w:val="5C4200"/>
                <w:sz w:val="19"/>
                <w:szCs w:val="19"/>
              </w:rPr>
              <w:t xml:space="preserve">Ticket médio em leve queda</w:t>
            </w:r>
          </w:p>
        </w:tc>
        <w:tc>
          <w:tcPr>
            <w:tcW w:type="dxa" w:w="3067"/>
            <w:shd w:fill="C6282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🔴 CRÍTICO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Queda relevante no ticket médio</w:t>
            </w:r>
          </w:p>
        </w:tc>
      </w:tr>
    </w:tbl>
    <w:p>
      <w:pPr>
        <w:spacing w:after="150"/>
      </w:pP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Ação esperada: acompanhar a evolução do MRR e do ticket médio período a período; quedas bruscas no ticket médio, mesmo com o MRR total estável, podem indicar concentração de receita em poucos clientes de alto valor — um risco de dependência que merece investigação.</w:t>
      </w:r>
    </w:p>
    <w:p>
      <w:pPr>
        <w:pStyle w:val="Heading2"/>
        <w:spacing w:after="150" w:before="300"/>
      </w:pPr>
      <w:r>
        <w:t xml:space="preserve">6.2. Perspectiva Cliente / Retenção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Ficha de KPI — Taxa de Churn Mensal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de Churn Mensal (equivalente)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 de negócio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Comparada a outras pequenas empresas de tecnologia, a Databurgo está perdendo clientes rápido demais — ou está indo bem, só que sem saber disso?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1 − (1 − cancelamentos ÷ clientes_ativos_início) elevado a (1 ÷ meses_do_período), convertido em percentual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 e colunas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Dados agregados informados pela Databurgo (clientes_ativos_início, cancelamentos, duração do período em meses)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Recomenda-se recalcular a cada trimestre, acompanhando a tendência e não apenas o retrato pontual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Mercado: 3% a 5% ao mês é considerado saudável para pequenas empresas de tecnologia/agências (INBLOG.AI; KIVOPOST — ver Referências)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6"/>
        <w:gridCol w:w="3067"/>
      </w:tblGrid>
      <w:tr>
        <w:tc>
          <w:tcPr>
            <w:tcW w:type="dxa" w:w="3067"/>
            <w:shd w:fill="2E7D3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🟢 SAUDÁVEL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até 5% ao mês (saudável)</w:t>
            </w:r>
          </w:p>
        </w:tc>
        <w:tc>
          <w:tcPr>
            <w:tcW w:type="dxa" w:w="3066"/>
            <w:shd w:fill="F9A82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4200"/>
                <w:sz w:val="20"/>
                <w:szCs w:val="20"/>
              </w:rPr>
              <w:t xml:space="preserve">🟡 ATENÇÃO</w:t>
            </w:r>
          </w:p>
          <w:p>
            <w:r>
              <w:rPr>
                <w:rFonts w:ascii="Calibri" w:cs="Calibri" w:eastAsia="Calibri" w:hAnsi="Calibri"/>
                <w:color w:val="5C4200"/>
                <w:sz w:val="19"/>
                <w:szCs w:val="19"/>
              </w:rPr>
              <w:t xml:space="preserve">5% a 7% ao mês (atenção)</w:t>
            </w:r>
          </w:p>
        </w:tc>
        <w:tc>
          <w:tcPr>
            <w:tcW w:type="dxa" w:w="3067"/>
            <w:shd w:fill="C6282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🔴 CRÍTICO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acima de 7% ao mês (crítico)</w:t>
            </w:r>
          </w:p>
        </w:tc>
      </w:tr>
    </w:tbl>
    <w:p>
      <w:pPr>
        <w:spacing w:after="150"/>
      </w:pP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Ação esperada: se o indicador cair na faixa amarela ou vermelha, investigar as causas dos cancelamentos (por exemplo, segmentando por tipo de contrato) antes de reagir de forma desproporcional junto à equipe — evitando a armadilha, discutida na Aula 1, de tomar decisões precipitadas a partir de desvios pontuais.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Ficha de KPI — Satisfação Percebida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Índice de Satisfação Percebida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 de negócio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 clientes estão satisfeitos com o atendimento e os serviços prestados pela Databurgo?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 informada diretamente pelo fundador, em escala de 0 a 10 (autoavaliação, sem cálculo derivado)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 e colunas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Percepção subjetiva do representante da Databurgo, coletada em conversa direta — não é resultado de pesquisa aplicada aos clientes finais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periodicidade formal definida atualmente; recomenda-se substituir por pesquisa periódica (ver seção 12)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comparável a benchmarks de NPS de mercado, cuja metodologia (escala de -100 a 100, baseada em promotores/detratores) difere da autoavaliação de 0 a 10 usada aqui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9ECE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95057"/>
                <w:sz w:val="20"/>
                <w:szCs w:val="20"/>
              </w:rPr>
              <w:t xml:space="preserve">Indicador qualitativo — sem faixa de semáforo. </w:t>
            </w:r>
            <w:r>
              <w:rPr>
                <w:rFonts w:ascii="Calibri" w:cs="Calibri" w:eastAsia="Calibri" w:hAnsi="Calibri"/>
                <w:color w:val="495057"/>
                <w:sz w:val="20"/>
                <w:szCs w:val="20"/>
              </w:rPr>
              <w:t xml:space="preserve">Tratado apenas como referência de contexto, nunca como evidência isolada de desempenho.</w:t>
            </w:r>
          </w:p>
        </w:tc>
      </w:tr>
    </w:tbl>
    <w:p>
      <w:pPr>
        <w:spacing w:after="150"/>
      </w:pP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Ação esperada: usar como referência de contexto apenas, nunca como evidência isolada e suficiente de desempenho — em linha com a orientação, vista na Aula 1, de não basear avaliações exclusivamente em dados subjetivos e de difícil validação. A ação recomendada é substituir esta autoavaliação por uma pesquisa formal de CSAT ou NPS (ver seção 12).</w:t>
      </w:r>
    </w:p>
    <w:p>
      <w:pPr>
        <w:pStyle w:val="Heading2"/>
        <w:spacing w:after="150" w:before="300"/>
      </w:pPr>
      <w:r>
        <w:t xml:space="preserve">6.3. Perspectiva de Relacionamento / Processos Internos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Ficha de KPI — Taxa de Cross-sell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de Cross-sell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 de negócio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Quantos clientes já conquistados contratam mais de um serviço, e há espaço para aumentar a receita sem captar clientes novos?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com mais de um serviço contratado ÷ clientes ativos no fim do período × 100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 e colunas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Dados agregados informados pela Databurgo (clientes_cross_sell, clientes_ativos_fim)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Recomenda-se acompanhar trimestralmente, junto ao churn e ao MRR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de base interna (20% a 40%); não há benchmark público consolidado para o segmento de pequenas empresas de desenvolvimento web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6"/>
        <w:gridCol w:w="3067"/>
      </w:tblGrid>
      <w:tr>
        <w:tc>
          <w:tcPr>
            <w:tcW w:type="dxa" w:w="3067"/>
            <w:shd w:fill="2E7D3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🟢 SAUDÁVEL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40% ou mais da base</w:t>
            </w:r>
          </w:p>
        </w:tc>
        <w:tc>
          <w:tcPr>
            <w:tcW w:type="dxa" w:w="3066"/>
            <w:shd w:fill="F9A82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4200"/>
                <w:sz w:val="20"/>
                <w:szCs w:val="20"/>
              </w:rPr>
              <w:t xml:space="preserve">🟡 ATENÇÃO</w:t>
            </w:r>
          </w:p>
          <w:p>
            <w:r>
              <w:rPr>
                <w:rFonts w:ascii="Calibri" w:cs="Calibri" w:eastAsia="Calibri" w:hAnsi="Calibri"/>
                <w:color w:val="5C4200"/>
                <w:sz w:val="19"/>
                <w:szCs w:val="19"/>
              </w:rPr>
              <w:t xml:space="preserve">entre 20% e 40% da base</w:t>
            </w:r>
          </w:p>
        </w:tc>
        <w:tc>
          <w:tcPr>
            <w:tcW w:type="dxa" w:w="3067"/>
            <w:shd w:fill="C6282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🔴 CRÍTICO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abaixo de 20% da base</w:t>
            </w:r>
          </w:p>
        </w:tc>
      </w:tr>
    </w:tbl>
    <w:p>
      <w:pPr>
        <w:spacing w:after="150"/>
      </w:pP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Ação esperada: valores na faixa amarela ou vermelha apontam uma oportunidade comercial concreta — ampliar a oferta de serviços adicionais à base de clientes já ativa, uma alavanca de receita geralmente mais barata do que captar clientes novos.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tempo de resposta ao suporte, cogitado inicialmente como indicador, foi deliberadamente excluído da lista formal de KPIs: por não ser cronometrado nem registrado pela empresa (conforme relatado pelo próprio Brendo), qualquer valor atribuído a ele seria estimado, não medido — o que o tornaria um dado subjetivo e não confiável para comparação com benchmarks. Ele é mencionado no relatório apenas como observação qualitativa de contexto (seção 3), não como métrica avaliada.</w:t>
      </w:r>
    </w:p>
    <w:p>
      <w:pPr>
        <w:pStyle w:val="Heading1"/>
        <w:spacing w:after="200" w:before="400"/>
      </w:pPr>
      <w:r>
        <w:t xml:space="preserve">7. Justificativa das Visualizações Utilizadas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ferramenta foi construída em Streamlit, tecnologia open source recomendada pelo enunciado do projeto e apresentada em demonstração prática pelo professor durante a disciplina. As escolhas de visualização seguiram os seguintes princípios: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Números em destaque ("big numbers") no topo da tela para uma leitura imediata de cada KPI, antes de qualquer detalhamento — recurso do Streamlit apresentado em aula;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Um gráfico de comparação por indicador (barra/gauge), colocando o valor informado pelo usuário lado a lado com a faixa de benchmark de mercado, evitando múltiplos eixos ou sobreposição de informações não relacionadas;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Uso semântico de cor (verde, amarelo, vermelho) exclusivamente para indicar a posição do indicador frente ao benchmark — nunca de forma meramente decorativa — reduzindo ruído gráfico e reforçando a hierarquia visual;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Campos de entrada editáveis para os números agregados, permitindo que a própria Databurgo (ou outra pequena empresa) atualize o diagnóstico com dados de períodos futuros, sem depender de nova análise externa;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Uma seção de leitura textual (Data Storytelling) antes dos gráficos, contextualizando a pergunta que motiva cada indicador antes de mostrar o número correspondente.</w:t>
      </w:r>
    </w:p>
    <w:p>
      <w:pPr>
        <w:pStyle w:val="Heading1"/>
        <w:spacing w:after="200" w:before="400"/>
      </w:pPr>
      <w:r>
        <w:t xml:space="preserve">8. Principais Análises Realizadas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partir dos dados agregados fornecidos pela Databurgo, foram realizados os seguintes cálculos: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Conversão do churn acumulado no período de 6 meses (5 cancelamentos sobre a base inicial de 38 clientes) em uma taxa de churn mensal equivalente, resultando em aproximadamente 2,32% ao mês;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Cálculo do ticket médio por cliente ativo, dividindo o MRR informado pelo número de clientes ativos ao fim do período;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Cálculo da taxa de cross-sell, dividindo o número de clientes com mais de um serviço (14) pelo total de clientes ativos ao fim do período (46);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Comparação de cada um desses valores calculados com a faixa de benchmark de mercado correspondente, classificando o resultado como acima, dentro ou abaixo do esperado para empresas do mesmo porte e segmento.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ouro aplicada aos cálculos: </w:t>
      </w:r>
      <w:r>
        <w:rPr>
          <w:rFonts w:ascii="Calibri" w:cs="Calibri" w:eastAsia="Calibri" w:hAnsi="Calibri"/>
          <w:sz w:val="22"/>
          <w:szCs w:val="22"/>
        </w:rPr>
        <w:t xml:space="preserve">em nenhum momento uma taxa foi calculada como média simples de valores pontuais. O churn mensal, por exemplo, não foi obtido dividindo o churn acumulado por 6 (uma média ingênua), e sim por conversão composta — a mesma lógica de "razão de somas, nunca média das linhas" demonstrada pelo professor no exemplo de KPIs de alfabetização do Censo 2022, adaptada aqui para a conversão de uma taxa acumulada em uma taxa mensal equivalente. Essa escolha evita distorcer o indicador central do diagnóstico.</w:t>
      </w:r>
    </w:p>
    <w:p>
      <w:pPr>
        <w:pStyle w:val="Heading1"/>
        <w:spacing w:after="200" w:before="400"/>
      </w:pPr>
      <w:r>
        <w:t xml:space="preserve">9. Narrativa Construída (Data Storytelling)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narrativa da ferramenta segue a lógica de partir da pergunta antes da resposta, evitando abrir com o número mais complexo ou com uma conclusão pronta. A sequência construída é a seguinte: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inicial: </w:t>
      </w:r>
      <w:r>
        <w:rPr>
          <w:rFonts w:ascii="Calibri" w:cs="Calibri" w:eastAsia="Calibri" w:hAnsi="Calibri"/>
          <w:sz w:val="22"/>
          <w:szCs w:val="22"/>
        </w:rPr>
        <w:t xml:space="preserve">"comparada a outras pequenas empresas de tecnologia, a Databurgo está perdendo clientes rápido demais — ou está indo bem, só que sem saber disso?"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partir dessa pergunta, o dashboard conduz o usuário por três etapas: primeiro, um panorama geral da carteira (quantos clientes, quanto de receita recorrente); em seguida, o indicador central de retenção (churn mensal) comparado ao benchmark de mercado; e, por fim, os indicadores complementares de relacionamento (cross-sell) e de percepção (satisfação), estes últimos apresentados com a ressalva de que a satisfação é uma autoavaliação, não uma pesquisa formal.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sequência evita apresentar volume de clientes (crescimento de 38 para 46) como indicador de desempenho isolado — ilustrado em aula como um erro comum, já que volume, retenção e receita podem contar histórias diferentes sobre o mesmo negócio — e conduz o leitor até a conclusão de que o crescimento da base só é uma boa notícia quando lido em conjunto com uma taxa de churn saudável.</w:t>
      </w:r>
    </w:p>
    <w:p>
      <w:pPr>
        <w:pStyle w:val="Heading1"/>
        <w:spacing w:after="200" w:before="400"/>
      </w:pPr>
      <w:r>
        <w:t xml:space="preserve">10. Principais Resultados Obtidos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2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Databurgo (mar–ago/2026)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 de mercado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 mensal (equivalente)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2,32% ao mês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3% a 5% ao mês é considerado saudável para pequenas empresas de tecnologia/agências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Dentro do esperado, melhor que a faixa saudável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médio por cliente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R$ 424 – R$ 435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 por segmento; usado como referência interna, não comparado a benchmark externo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Indicador de acompanhamento financeiro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de cross-sell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30% a 35% da 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há benchmark público consolidado para o segmento; tratado como linha de base própria da empresa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Dentro da linha de base, com espaço de crescimento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Satisfação percebida (autoavaliação)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8,5 a 9,0 (escala 0–10)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comparável a NPS de mercado (metodologias distintas)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Indicador qualitativo, tratado com ressalva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resultado mais relevante é que a taxa de churn mensal calculada (≈2,32%) está dentro — na verdade, melhor do que — a faixa geralmente considerada saudável para empresas do porte e segmento da Databurgo (3% a 5% ao mês). Isso confirma, com evidência objetiva, a percepção subjetiva que o Brendo já tinha, mas não conseguia sustentar com números.</w:t>
      </w:r>
    </w:p>
    <w:p>
      <w:pPr>
        <w:pStyle w:val="Heading1"/>
        <w:spacing w:after="200" w:before="400"/>
      </w:pPr>
      <w:r>
        <w:t xml:space="preserve">11. Contribuições da Solução para a Organização Parceira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Pela primeira vez, a Databurgo passa a ter uma leitura objetiva — e não apenas intuitiva — de que sua retenção de clientes está em nível saudável frente ao mercado, o que ajuda a evitar reações desproporcionais a cancelamentos pontuais;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identificação de que apenas 30–35% da base contrata mais de um serviço aponta uma oportunidade concreta de crescimento de receita via cross-sell, sem necessidade de captação de novos clientes;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ferramenta desenvolvida em Streamlit fica disponível para reutilização contínua pela empresa: a cada novo período, o Brendo pode inserir os números atualizados e repetir o diagnóstico, sem depender de nova análise externa.</w:t>
      </w:r>
    </w:p>
    <w:p>
      <w:pPr>
        <w:pStyle w:val="Heading1"/>
        <w:spacing w:after="200" w:before="400"/>
      </w:pPr>
      <w:r>
        <w:t xml:space="preserve">12. Conclusões e Recomendações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demonstrou que é possível transformar números agregados simples — já disponíveis em qualquer pequena empresa, mesmo sem estrutura de BI — em um diagnóstico objetivo e comparável a benchmarks de mercado. Essa abordagem respeitou tanto a limitação real de dados da organização parceira quanto o princípio de não avaliar desempenho a partir de métricas isoladas ou de dados exclusivamente subjetivos.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recomendações à Databurgo, sugere-se: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Implementar um registro estruturado — ainda que simples, como uma planilha — do motivo de cada cancelamento, permitindo no futuro segmentar o churn por causa e não apenas medi-lo em total;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Substituir gradualmente a autoavaliação subjetiva de satisfação por uma pesquisa formal e periódica de CSAT ou NPS aplicada diretamente aos clientes;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Medir objetivamente o tempo de resposta ao suporte antes de tratá-lo como indicador de desempenho, já que hoje ele é apenas percepção;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Repetir este diagnóstico periodicamente (sugestão: trimestral), acompanhando a tendência dos indicadores ao longo do tempo, e não apenas o retrato pontual de um único período.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limitações do estudo, destacam-se: os dados cobrem uma única empresa e uma janela de apenas seis meses; o indicador de satisfação é uma autoavaliação do fundador, não uma pesquisa formal; e não há benchmark público consolidado de cross-sell específico para o segmento de pequenas empresas de desenvolvimento web, o que limitou essa comparação a uma linha de base interna.</w:t>
      </w:r>
    </w:p>
    <w:p>
      <w:pPr>
        <w:pStyle w:val="Heading1"/>
        <w:spacing w:after="200" w:before="400"/>
      </w:pPr>
      <w:r>
        <w:t xml:space="preserve">Referências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INBLOG.AI. Churn Rate: benchmarks de SaaS. Disponível em: https://inblog.ai/pt-BR/glossary/churn-rate. Acesso em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GURUSUP. Calculadora de Churn Rate — benchmarks de mercado. Disponível em: https://gurusup.com/es/tools/churn-rate-calculator. Acesso em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KIVOPOST. What is Churn Rate? Disponível em: https://kivopost.com/glossary/analytics-metrics-reporting/churn-rate. Acesso em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QUESTIONPRO. Benchmarks do NPS para 13 indústrias diferentes. Disponível em: https://www.questionpro.com/blog/pt-br/benchmarks-do-nps-para-13-industrias-diferentes/. Acesso em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SANTOS, Thalles Bruno Gonçalves Nery dos. Proposta do Projeto Integrador V-A. Goiânia: PUC Goiás,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SANTOS, Thalles Bruno Gonçalves Nery dos. Projeto Integrador V-A — Aula 2: sistemas de aferição de desempenho e KPIs. Goiânia: PUC Goiás, 2026.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SANTOS, Thalles Bruno Gonçalves Nery dos. Projeto Integrador — Aula 1 de 2: Do dado ao dashboard (Alfabetização, Censo 2022). Goiânia: PUC Goiás, 2026. Material de apoio usado como referência de estrutura de KPIs e boas práticas de visualização.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Anotações de aula da disciplina Projeto Integrador V-A (Aulas síncronas 1, 2 e 3), ministrada pelo professor Thalles Bruno Gonçalves Nery dos Santos, 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Projeto Integrador V-A — Databurgo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2026-09-22T19:46:30.021Z</dcterms:created>
  <dcterms:modified xsi:type="dcterms:W3CDTF">2026-09-22T19:46:30.032Z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