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f4dbc2ddccd40c39f7c9568fd0ef0e1d858d49f"/>
    <w:p>
      <w:pPr>
        <w:pStyle w:val="Heading1"/>
      </w:pPr>
      <w:r>
        <w:rPr>
          <w:bCs/>
          <w:b/>
        </w:rPr>
        <w:t xml:space="preserve">Comparativo Profissional de Expert Advisors Rentáveis</w:t>
      </w:r>
    </w:p>
    <w:bookmarkStart w:id="20" w:name="Xe580214958f3320082e66459b3bada6b040c63e"/>
    <w:p>
      <w:pPr>
        <w:pStyle w:val="Heading3"/>
      </w:pPr>
      <w:r>
        <w:rPr>
          <w:iCs/>
          <w:i/>
        </w:rPr>
        <w:t xml:space="preserve">Análise de lucros, fatores de retorno e otimizações em oito servidores para eleger o EA mais eficiente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Autor:</w:t>
      </w:r>
      <w:r>
        <w:t xml:space="preserve"> </w:t>
      </w:r>
      <w:r>
        <w:t xml:space="preserve">José Freitas</w:t>
      </w:r>
      <w:r>
        <w:br/>
      </w:r>
      <w:r>
        <w:rPr>
          <w:bCs/>
          <w:b/>
        </w:rPr>
        <w:t xml:space="preserve">Data:</w:t>
      </w:r>
      <w:r>
        <w:t xml:space="preserve"> </w:t>
      </w:r>
      <w:r>
        <w:t xml:space="preserve">2025-07-25 16:24:36.078109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Versão inicial</w:t>
      </w:r>
    </w:p>
    <w:p>
      <w:r>
        <w:pict>
          <v:rect style="width:0;height:1.5pt" o:hralign="center" o:hrstd="t" o:hr="t"/>
        </w:pict>
      </w:r>
    </w:p>
    <w:bookmarkEnd w:id="20"/>
    <w:bookmarkStart w:id="21" w:name="índice"/>
    <w:p>
      <w:pPr>
        <w:pStyle w:val="Heading3"/>
      </w:pPr>
      <w:r>
        <w:rPr>
          <w:bCs/>
          <w:b/>
        </w:rPr>
        <w:t xml:space="preserve">Índice</w:t>
      </w:r>
    </w:p>
    <w:p>
      <w:pPr>
        <w:numPr>
          <w:ilvl w:val="0"/>
          <w:numId w:val="1001"/>
        </w:numPr>
        <w:pStyle w:val="Compact"/>
      </w:pPr>
      <w:hyperlink w:anchor="resumo-executivo">
        <w:r>
          <w:rPr>
            <w:rStyle w:val="Hyperlink"/>
          </w:rPr>
          <w:t xml:space="preserve">Resumo Executivo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analises-aprofundadas">
        <w:r>
          <w:rPr>
            <w:rStyle w:val="Hyperlink"/>
          </w:rPr>
          <w:t xml:space="preserve">Análises Aprofundadas dos Tópicos</w:t>
        </w:r>
      </w:hyperlink>
      <w:r>
        <w:br/>
      </w:r>
      <w:r>
        <w:t xml:space="preserve">2.1.</w:t>
      </w:r>
      <w:r>
        <w:t xml:space="preserve"> </w:t>
      </w:r>
      <w:hyperlink w:anchor="analise-topico-1">
        <w:r>
          <w:rPr>
            <w:rStyle w:val="Hyperlink"/>
          </w:rPr>
          <w:t xml:space="preserve">Desempenho Financeiro do Expert Advisor</w:t>
        </w:r>
      </w:hyperlink>
      <w:r>
        <w:br/>
      </w:r>
      <w:r>
        <w:t xml:space="preserve">2.2.</w:t>
      </w:r>
      <w:r>
        <w:t xml:space="preserve"> </w:t>
      </w:r>
      <w:hyperlink w:anchor="analise-topico-2">
        <w:r>
          <w:rPr>
            <w:rStyle w:val="Hyperlink"/>
          </w:rPr>
          <w:t xml:space="preserve">Robustez Operacional e Infraestrutura de Negociação</w:t>
        </w:r>
      </w:hyperlink>
      <w:r>
        <w:br/>
      </w:r>
      <w:r>
        <w:t xml:space="preserve">2.3.</w:t>
      </w:r>
      <w:r>
        <w:t xml:space="preserve"> </w:t>
      </w:r>
      <w:hyperlink w:anchor="analise-topico-3">
        <w:r>
          <w:rPr>
            <w:rStyle w:val="Hyperlink"/>
          </w:rPr>
          <w:t xml:space="preserve">Parâmetros de Otimização Técnicos</w:t>
        </w:r>
      </w:hyperlink>
      <w:r>
        <w:br/>
      </w:r>
      <w:r>
        <w:t xml:space="preserve">2.4.</w:t>
      </w:r>
      <w:r>
        <w:t xml:space="preserve"> </w:t>
      </w:r>
      <w:hyperlink w:anchor="analise-topico-4">
        <w:r>
          <w:rPr>
            <w:rStyle w:val="Hyperlink"/>
          </w:rPr>
          <w:t xml:space="preserve">Histórico de Otimização e Indicadores de Qualidade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conclusao-estrategica-final">
        <w:r>
          <w:rPr>
            <w:rStyle w:val="Hyperlink"/>
          </w:rPr>
          <w:t xml:space="preserve">Conclusão Estratégica e Imperativo de Ação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resumo-executivo"/>
    <w:p>
      <w:pPr>
        <w:pStyle w:val="Heading3"/>
      </w:pPr>
      <w:r>
        <w:rPr>
          <w:bCs/>
          <w:b/>
        </w:rPr>
        <w:t xml:space="preserve">1. Resumo Executivo</w:t>
      </w:r>
    </w:p>
    <w:p>
      <w:pPr>
        <w:pStyle w:val="FirstParagraph"/>
      </w:pPr>
    </w:p>
    <w:p>
      <w:pPr>
        <w:pStyle w:val="BodyText"/>
      </w:pPr>
      <w:r>
        <w:t xml:space="preserve">Os relatórios convergem em quatro pilares estratégicos:</w:t>
      </w:r>
    </w:p>
    <w:p>
      <w:pPr>
        <w:numPr>
          <w:ilvl w:val="0"/>
          <w:numId w:val="1002"/>
        </w:numPr>
        <w:pStyle w:val="Compact"/>
      </w:pPr>
      <w:r>
        <w:t xml:space="preserve">Realocação dinâmica de capital para os buckets de alta performance do Expert Advisor e replicação de padrões de mercado vencedores, objetivando um incremento de 10–15% no lucro em seis meses.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Modernização da infraestrutura com arquitetura híbrida de auto-scaling preditivo em nuvem, SLAs de latência &lt;10 ms e monetização de capacidade ociosa, reduzindo OPEX em até 25% e mitigando slippage.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Institucionalização de pipelines automatizados e ML-driven para otimização de parâmetros — com dashboards interativos, versionamento automático e ajustes dinâmicos — acelerando ciclos de tuning e criando novas fontes de receita via SaaS/API.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Fortalecimento da governança de riscos, contendo concentração, data-snooping, lock-in de provedores e compliance regulatório.</w:t>
      </w:r>
    </w:p>
    <w:p>
      <w:pPr>
        <w:pStyle w:val="FirstParagraph"/>
      </w:pPr>
      <w:r>
        <w:t xml:space="preserve">Em conjunto, essas iniciativas permitirão elevar o retorno ajustado ao risco, cortar custos operacionais e consolidar nossa vantagem competitiva em trading automatizado.</w:t>
      </w:r>
    </w:p>
    <w:p>
      <w:r>
        <w:pict>
          <v:rect style="width:0;height:1.5pt" o:hralign="center" o:hrstd="t" o:hr="t"/>
        </w:pict>
      </w:r>
    </w:p>
    <w:bookmarkEnd w:id="22"/>
    <w:bookmarkStart w:id="51" w:name="análises-aprofundadas-dos-tópicos"/>
    <w:p>
      <w:pPr>
        <w:pStyle w:val="Heading3"/>
      </w:pPr>
      <w:r>
        <w:rPr>
          <w:bCs/>
          <w:b/>
        </w:rPr>
        <w:t xml:space="preserve">2. Análises Aprofundadas dos Tópicos</w:t>
      </w:r>
    </w:p>
    <w:p>
      <w:pPr>
        <w:pStyle w:val="FirstParagraph"/>
      </w:pPr>
    </w:p>
    <w:bookmarkStart w:id="29" w:name="desempenho-financeiro-do-expert-advisor"/>
    <w:p>
      <w:pPr>
        <w:pStyle w:val="Heading4"/>
      </w:pPr>
      <w:r>
        <w:rPr>
          <w:bCs/>
          <w:b/>
        </w:rPr>
        <w:t xml:space="preserve">2.1. Desempenho Financeiro do Expert Advisor</w:t>
      </w:r>
    </w:p>
    <w:p>
      <w:pPr>
        <w:pStyle w:val="FirstParagraph"/>
      </w:pPr>
    </w:p>
    <w:bookmarkStart w:id="28" w:name="X391c2612841f48962d329fa1496f3d96a02fdee"/>
    <w:p>
      <w:pPr>
        <w:pStyle w:val="Heading5"/>
      </w:pPr>
      <w:r>
        <w:rPr>
          <w:bCs/>
          <w:b/>
        </w:rP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Consolidação dos Resultados de Lucro do EA por Sessões e Buckets de Capital</w:t>
      </w:r>
    </w:p>
    <w:p>
      <w:r>
        <w:pict>
          <v:rect style="width:0;height:1.5pt" o:hralign="center" o:hrstd="t" o:hr="t"/>
        </w:pict>
      </w:r>
    </w:p>
    <w:bookmarkStart w:id="23" w:name="resumo-executivo-1"/>
    <w:p>
      <w:pPr>
        <w:pStyle w:val="Heading6"/>
      </w:pPr>
      <w:r>
        <w:rPr>
          <w:bCs/>
          <w:b/>
        </w:rPr>
        <w:t xml:space="preserve">1. Resumo Executivo</w:t>
      </w:r>
    </w:p>
    <w:p>
      <w:pPr>
        <w:pStyle w:val="FirstParagraph"/>
      </w:pPr>
      <w:r>
        <w:t xml:space="preserve">A consolidação dos dados operacionais do Expert Advisor evidencia:</w:t>
      </w:r>
      <w:r>
        <w:br/>
      </w:r>
      <w:r>
        <w:t xml:space="preserve">- Lucros unitários variando entre $0,311 e $9,415 (média $5,860, σ≈2,10)</w:t>
      </w:r>
      <w:r>
        <w:br/>
      </w:r>
      <w:r>
        <w:t xml:space="preserve">- Lucros agregados por bucket de $104.444 a $150.925 (média $133.235)</w:t>
      </w:r>
      <w:r>
        <w:br/>
      </w:r>
      <w:r>
        <w:t xml:space="preserve">- Fator de retorno estável entre 1,47–1,61 (média 1,57, σ=0,05)</w:t>
      </w:r>
      <w:r>
        <w:br/>
      </w:r>
      <w:r>
        <w:t xml:space="preserve">- Três outliers de alta performance acima de $9.300 em trades distintos</w:t>
      </w:r>
    </w:p>
    <w:p>
      <w:pPr>
        <w:pStyle w:val="BodyText"/>
      </w:pPr>
      <w:r>
        <w:t xml:space="preserve">Recomendamos</w:t>
      </w:r>
      <w:r>
        <w:t xml:space="preserve"> </w:t>
      </w:r>
      <w:r>
        <w:rPr>
          <w:bCs/>
          <w:b/>
        </w:rPr>
        <w:t xml:space="preserve">realocar 15–20% do capital</w:t>
      </w:r>
      <w:r>
        <w:t xml:space="preserve"> </w:t>
      </w:r>
      <w:r>
        <w:t xml:space="preserve">para os três buckets top performers,</w:t>
      </w:r>
      <w:r>
        <w:t xml:space="preserve"> </w:t>
      </w:r>
      <w:r>
        <w:rPr>
          <w:bCs/>
          <w:b/>
        </w:rPr>
        <w:t xml:space="preserve">implementar um dashboard de monitoramento em tempo real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desenvolver rapidamente um motor de replicação de condições de mercado</w:t>
      </w:r>
      <w:r>
        <w:t xml:space="preserve">. O objetivo é capturar um acréscimo de 10–15% no lucro total em 6 meses, mantendo o drawdown controlado.</w:t>
      </w:r>
    </w:p>
    <w:p>
      <w:r>
        <w:pict>
          <v:rect style="width:0;height:1.5pt" o:hralign="center" o:hrstd="t" o:hr="t"/>
        </w:pict>
      </w:r>
    </w:p>
    <w:bookmarkEnd w:id="23"/>
    <w:bookmarkStart w:id="24" w:name="análise-detalhada-e-contextualização"/>
    <w:p>
      <w:pPr>
        <w:pStyle w:val="Heading6"/>
      </w:pPr>
      <w:r>
        <w:rPr>
          <w:bCs/>
          <w:b/>
        </w:rPr>
        <w:t xml:space="preserve">2. Análise Detalhada e Contextualização</w:t>
      </w:r>
    </w:p>
    <w:p>
      <w:pPr>
        <w:pStyle w:val="FirstParagraph"/>
      </w:pPr>
      <w:r>
        <w:rPr>
          <w:bCs/>
          <w:b/>
        </w:rPr>
        <w:t xml:space="preserve">2.1. Contexto e Relevância Estratégica do Tópico</w:t>
      </w:r>
      <w:r>
        <w:br/>
      </w:r>
      <w:r>
        <w:t xml:space="preserve">- O AUM do fundo depende de alocação dinâmica de capital em estratégias com maior retorno ajustado ao risco.</w:t>
      </w:r>
      <w:r>
        <w:br/>
      </w:r>
      <w:r>
        <w:t xml:space="preserve">- Identificar e replicar picos de performance do EA eleva a eficiência do portfólio e reforça a confiança dos investidores.</w:t>
      </w:r>
      <w:r>
        <w:br/>
      </w:r>
      <w:r>
        <w:t xml:space="preserve">- O equilíbrio entre maximizar retorno e conter drawdown é o núcleo do nosso mandato de gestão.</w:t>
      </w:r>
    </w:p>
    <w:p>
      <w:pPr>
        <w:pStyle w:val="BodyText"/>
      </w:pPr>
      <w:r>
        <w:rPr>
          <w:bCs/>
          <w:b/>
        </w:rPr>
        <w:t xml:space="preserve">2.2. Principais Achados no Documento de Referência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Lucros Unitários por Operação (N=21):</w:t>
      </w:r>
      <w:r>
        <w:t xml:space="preserve"> </w:t>
      </w:r>
      <w:r>
        <w:t xml:space="preserve">Variação: $0,311–$9,415; Média: $5,860; σ≈2,10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Lucros Agregados por Bucket (N=10):</w:t>
      </w:r>
      <w:r>
        <w:t xml:space="preserve"> </w:t>
      </w:r>
      <w:r>
        <w:t xml:space="preserve">Intervalo: $104.444–$150.925; Média: $133.235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Fator de Retorno (N=12):</w:t>
      </w:r>
      <w:r>
        <w:t xml:space="preserve"> </w:t>
      </w:r>
      <w:r>
        <w:t xml:space="preserve">Variação: 1,47–1,61; Média: 1,57; σ=0,05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Outliers de Alta Performance:</w:t>
      </w:r>
      <w:r>
        <w:t xml:space="preserve"> </w:t>
      </w:r>
      <w:r>
        <w:t xml:space="preserve">Três trades acima de $9.300 (9,337; 9,415; 9,348), representando 14% dos trades e 22% do lucro total.</w:t>
      </w:r>
    </w:p>
    <w:p>
      <w:r>
        <w:pict>
          <v:rect style="width:0;height:1.5pt" o:hralign="center" o:hrstd="t" o:hr="t"/>
        </w:pict>
      </w:r>
    </w:p>
    <w:bookmarkEnd w:id="24"/>
    <w:bookmarkStart w:id="25" w:name="X778d8177a80abf8e35fe65497a5e7da33bc0ce1"/>
    <w:p>
      <w:pPr>
        <w:pStyle w:val="Heading6"/>
      </w:pPr>
      <w:r>
        <w:rPr>
          <w:bCs/>
          <w:b/>
        </w:rPr>
        <w:t xml:space="preserve">3. Inteligência Estratégica: Implicações, Oportunidades e Riscos</w:t>
      </w:r>
    </w:p>
    <w:p>
      <w:pPr>
        <w:pStyle w:val="FirstParagraph"/>
      </w:pPr>
      <w:r>
        <w:rPr>
          <w:bCs/>
          <w:b/>
        </w:rPr>
        <w:t xml:space="preserve">3.1. Análise Crítica e Implicações Diretas</w:t>
      </w:r>
      <w:r>
        <w:br/>
      </w:r>
      <w:r>
        <w:t xml:space="preserve">- A dispersão elevada de lucros unitários indica que condições específicas geram ganhos exponenciais.</w:t>
      </w:r>
      <w:r>
        <w:br/>
      </w:r>
      <w:r>
        <w:t xml:space="preserve">- O fator de retorno robusto confirma a qualidade do modelo, mas oculta janelas de performance superiores que devem ser alavancadas.</w:t>
      </w:r>
      <w:r>
        <w:br/>
      </w:r>
      <w:r>
        <w:t xml:space="preserve">- Os outliers concentram fatia desproporcional de lucro; ignorá-los mantém capital ocioso em buckets menos produtivos.</w:t>
      </w:r>
    </w:p>
    <w:p>
      <w:pPr>
        <w:pStyle w:val="BodyText"/>
      </w:pPr>
      <w:r>
        <w:rPr>
          <w:bCs/>
          <w:b/>
        </w:rPr>
        <w:t xml:space="preserve">3.2. Oportunidades Estratégicas (Fora da Caixa)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O1 – Realocação Direcionada de Capital:</w:t>
      </w:r>
      <w:r>
        <w:t xml:space="preserve"> </w:t>
      </w:r>
      <w:r>
        <w:t xml:space="preserve">+10–15% de lucro ao realocar 15–20% para buckets outliers.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O2 – Dashboard em Tempo Real:</w:t>
      </w:r>
      <w:r>
        <w:t xml:space="preserve"> </w:t>
      </w:r>
      <w:r>
        <w:t xml:space="preserve">Alertas automáticos (lucro unitário &gt; $7,50; drawdown &lt; 2%) para rebalanceamento instantâneo.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O3 – Motor de Aprendizado de Picos:</w:t>
      </w:r>
      <w:r>
        <w:t xml:space="preserve"> </w:t>
      </w:r>
      <w:r>
        <w:t xml:space="preserve">ML para extrair padrões de volatilidade, horário e ativo; aplicar a outros buckets.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O4 – Hedge Cruzado:</w:t>
      </w:r>
      <w:r>
        <w:t xml:space="preserve"> </w:t>
      </w:r>
      <w:r>
        <w:t xml:space="preserve">Algoritmos de hedge entre buckets high- e low-performing para otimizar retorno ajustado ao risco.</w:t>
      </w:r>
    </w:p>
    <w:p>
      <w:pPr>
        <w:pStyle w:val="BodyText"/>
      </w:pPr>
      <w:r>
        <w:rPr>
          <w:bCs/>
          <w:b/>
        </w:rPr>
        <w:t xml:space="preserve">3.3. Riscos e Ameaças Ocultas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R1 – Concentração de Exposição:</w:t>
      </w:r>
      <w:r>
        <w:t xml:space="preserve"> </w:t>
      </w:r>
      <w:r>
        <w:t xml:space="preserve">Risco de drawdown extremo se condições não se repetirem.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R2 – Data-Snooping Bias:</w:t>
      </w:r>
      <w:r>
        <w:t xml:space="preserve"> </w:t>
      </w:r>
      <w:r>
        <w:t xml:space="preserve">Outliers podem refletir</w:t>
      </w:r>
      <w:r>
        <w:t xml:space="preserve"> </w:t>
      </w:r>
      <w:r>
        <w:t xml:space="preserve">“</w:t>
      </w:r>
      <w:r>
        <w:t xml:space="preserve">ruído</w:t>
      </w:r>
      <w:r>
        <w:t xml:space="preserve">”</w:t>
      </w:r>
      <w:r>
        <w:t xml:space="preserve">; replicação sem validação robusta gera falsa edge.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R3 – Latência de Execução:</w:t>
      </w:r>
      <w:r>
        <w:t xml:space="preserve"> </w:t>
      </w:r>
      <w:r>
        <w:t xml:space="preserve">Delay nos alerts pode corroer edge temporal e reduzir eficácia do rebalanceamento.</w:t>
      </w:r>
    </w:p>
    <w:p>
      <w:r>
        <w:pict>
          <v:rect style="width:0;height:1.5pt" o:hralign="center" o:hrstd="t" o:hr="t"/>
        </w:pict>
      </w:r>
    </w:p>
    <w:bookmarkEnd w:id="25"/>
    <w:bookmarkStart w:id="26" w:name="Xef094a7dd27be541118c2fd87277f3e9938eafd"/>
    <w:p>
      <w:pPr>
        <w:pStyle w:val="Heading6"/>
      </w:pPr>
      <w:r>
        <w:rPr>
          <w:bCs/>
          <w:b/>
        </w:rPr>
        <w:t xml:space="preserve">4. Recomendações Acionáveis e Próximos Passos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Reforçar Alocação nos Buckets de Alta Performance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Até T+5 dias:</w:t>
      </w:r>
      <w:r>
        <w:t xml:space="preserve"> </w:t>
      </w:r>
      <w:r>
        <w:t xml:space="preserve">Mapear limites de VaR e liquidez.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Até T+15 dias:</w:t>
      </w:r>
      <w:r>
        <w:t xml:space="preserve"> </w:t>
      </w:r>
      <w:r>
        <w:t xml:space="preserve">Configurar transferência piloto de 15% de capital.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Semanalmente:</w:t>
      </w:r>
      <w:r>
        <w:t xml:space="preserve"> </w:t>
      </w:r>
      <w:r>
        <w:t xml:space="preserve">Monitorar e ajustar ±5%.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Implementar Dashboard em Tempo Real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T+7 dias:</w:t>
      </w:r>
      <w:r>
        <w:t xml:space="preserve"> </w:t>
      </w:r>
      <w:r>
        <w:t xml:space="preserve">Selecionar stack (Grafana + API).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T+14 dias:</w:t>
      </w:r>
      <w:r>
        <w:t xml:space="preserve"> </w:t>
      </w:r>
      <w:r>
        <w:t xml:space="preserve">Definir KPIs e thresholds.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T+21 dias:</w:t>
      </w:r>
      <w:r>
        <w:t xml:space="preserve"> </w:t>
      </w:r>
      <w:r>
        <w:t xml:space="preserve">Testar em paper-trading.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Desenvolver Motor de Replicação de Condições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T+30 dias:</w:t>
      </w:r>
      <w:r>
        <w:t xml:space="preserve"> </w:t>
      </w:r>
      <w:r>
        <w:t xml:space="preserve">Data Science extrair features (volatilidade, spread, horário).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T+60 dias:</w:t>
      </w:r>
      <w:r>
        <w:t xml:space="preserve"> </w:t>
      </w:r>
      <w:r>
        <w:t xml:space="preserve">Concluir backtests e validar em sandbox.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T+90 dias:</w:t>
      </w:r>
      <w:r>
        <w:t xml:space="preserve"> </w:t>
      </w:r>
      <w:r>
        <w:t xml:space="preserve">Produção e monitoramento de performance.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Otimizar Hedge entre Buckets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T+10 dias:</w:t>
      </w:r>
      <w:r>
        <w:t xml:space="preserve"> </w:t>
      </w:r>
      <w:r>
        <w:t xml:space="preserve">Analisar correlações históricas.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T+30 dias:</w:t>
      </w:r>
      <w:r>
        <w:t xml:space="preserve"> </w:t>
      </w:r>
      <w:r>
        <w:t xml:space="preserve">Desenvolver e testar hedge (delta-neutral, opções).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T+45 dias:</w:t>
      </w:r>
      <w:r>
        <w:t xml:space="preserve"> </w:t>
      </w:r>
      <w:r>
        <w:t xml:space="preserve">Implantar hedge piloto.</w:t>
      </w:r>
    </w:p>
    <w:p>
      <w:r>
        <w:pict>
          <v:rect style="width:0;height:1.5pt" o:hralign="center" o:hrstd="t" o:hr="t"/>
        </w:pict>
      </w:r>
    </w:p>
    <w:bookmarkEnd w:id="26"/>
    <w:bookmarkStart w:id="27" w:name="conclusão"/>
    <w:p>
      <w:pPr>
        <w:pStyle w:val="Heading6"/>
      </w:pPr>
      <w:r>
        <w:rPr>
          <w:bCs/>
          <w:b/>
        </w:rPr>
        <w:t xml:space="preserve">5. Conclusão</w:t>
      </w:r>
    </w:p>
    <w:p>
      <w:pPr>
        <w:pStyle w:val="FirstParagraph"/>
      </w:pPr>
      <w:r>
        <w:t xml:space="preserve">A abordagem proposta—realocação ágil de capital, monitoramento em tempo real e replicação de padrões vencedores—tem potencial de elevar nosso lucro ajustado ao risco em 10–15% nos próximos seis meses. Iniciar imediatamente garantirá captura das janelas de alta performance e sustentará nossa vantagem competitiva.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6" w:name="X5eab116a15ccc676bec5b9cf571c1e64eaf8101"/>
    <w:p>
      <w:pPr>
        <w:pStyle w:val="Heading4"/>
      </w:pPr>
      <w:r>
        <w:rPr>
          <w:bCs/>
          <w:b/>
        </w:rPr>
        <w:t xml:space="preserve">2.2. Robustez Operacional e Infraestrutura de Negociação</w:t>
      </w:r>
    </w:p>
    <w:p>
      <w:pPr>
        <w:pStyle w:val="FirstParagraph"/>
      </w:pPr>
    </w:p>
    <w:bookmarkStart w:id="35" w:name="Xf15a5e6b282bdc7af8db925bf105db100ea21df"/>
    <w:p>
      <w:pPr>
        <w:pStyle w:val="Heading5"/>
      </w:pPr>
      <w:r>
        <w:rPr>
          <w:bCs/>
          <w:b/>
        </w:rP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Avaliação de Arquitetura de Execução, Distribuição de Servidores de Trading e Volume de Operações como Indicadores de Resiliência Operacional</w:t>
      </w:r>
    </w:p>
    <w:p>
      <w:r>
        <w:pict>
          <v:rect style="width:0;height:1.5pt" o:hralign="center" o:hrstd="t" o:hr="t"/>
        </w:pict>
      </w:r>
    </w:p>
    <w:bookmarkStart w:id="30" w:name="resumo-executivo-2"/>
    <w:p>
      <w:pPr>
        <w:pStyle w:val="Heading6"/>
      </w:pPr>
      <w:r>
        <w:rPr>
          <w:bCs/>
          <w:b/>
        </w:rPr>
        <w:t xml:space="preserve">1. Resumo Executivo</w:t>
      </w:r>
    </w:p>
    <w:p>
      <w:pPr>
        <w:pStyle w:val="FirstParagraph"/>
      </w:pPr>
      <w:r>
        <w:t xml:space="preserve">A plataforma de trading utiliza 8 servidores em paralelo, processando em média 310 trades por ciclo (mín. 172; máx. 1 359). Garante redundância, mas revela custo fixo elevado em baixa atividade e latência &gt;20 ms nos picos. Recomendamos arquitetura híbrida com auto-scaling preditivo, SLAs &lt;10 ms e monetização de capacidade ociosa. Espera-se reduzir OPEX em 25%, mitigar slippage e gerar +5% de receita em 12 meses.</w:t>
      </w:r>
    </w:p>
    <w:p>
      <w:r>
        <w:pict>
          <v:rect style="width:0;height:1.5pt" o:hralign="center" o:hrstd="t" o:hr="t"/>
        </w:pict>
      </w:r>
    </w:p>
    <w:bookmarkEnd w:id="30"/>
    <w:bookmarkStart w:id="31" w:name="análise-detalhada-e-contextualização-1"/>
    <w:p>
      <w:pPr>
        <w:pStyle w:val="Heading6"/>
      </w:pPr>
      <w:r>
        <w:rPr>
          <w:bCs/>
          <w:b/>
        </w:rPr>
        <w:t xml:space="preserve">2. Análise Detalhada e Contextualização</w:t>
      </w:r>
    </w:p>
    <w:p>
      <w:pPr>
        <w:pStyle w:val="FirstParagraph"/>
      </w:pPr>
      <w:r>
        <w:rPr>
          <w:bCs/>
          <w:b/>
        </w:rPr>
        <w:t xml:space="preserve">2.1. Contexto e Relevância</w:t>
      </w:r>
      <w:r>
        <w:br/>
      </w:r>
      <w:r>
        <w:t xml:space="preserve">- Resiliência e latência são diferenciais em alta frequência.</w:t>
      </w:r>
      <w:r>
        <w:br/>
      </w:r>
      <w:r>
        <w:t xml:space="preserve">- O modelo atual mitiga falhas, mas sacrifica flexibilidade e eleva custos.</w:t>
      </w:r>
      <w:r>
        <w:br/>
      </w:r>
      <w:r>
        <w:t xml:space="preserve">- Capacidade dinâmica e SLAs garantem performance consistente e eficiência de capital.</w:t>
      </w:r>
    </w:p>
    <w:p>
      <w:pPr>
        <w:pStyle w:val="BodyText"/>
      </w:pPr>
      <w:r>
        <w:rPr>
          <w:bCs/>
          <w:b/>
        </w:rPr>
        <w:t xml:space="preserve">2.2. Principais Achados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Servidor &amp; Redundância:</w:t>
      </w:r>
      <w:r>
        <w:t xml:space="preserve"> </w:t>
      </w:r>
      <w:r>
        <w:t xml:space="preserve">8 instâncias sem elasticidade.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Volume de Trades:</w:t>
      </w:r>
      <w:r>
        <w:t xml:space="preserve"> </w:t>
      </w:r>
      <w:r>
        <w:t xml:space="preserve">172–1 359 trades/ciclo (média 310), refletindo sazonalidade.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Picos:</w:t>
      </w:r>
      <w:r>
        <w:t xml:space="preserve"> </w:t>
      </w:r>
      <w:r>
        <w:t xml:space="preserve">525 trades comuns; extremos de 1 359 exigem burst capacity.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Gargalos em Baixa Volatilidade:</w:t>
      </w:r>
      <w:r>
        <w:t xml:space="preserve"> </w:t>
      </w:r>
      <w:r>
        <w:t xml:space="preserve">172 trades expõem subutilização.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Custo Invisível:</w:t>
      </w:r>
      <w:r>
        <w:t xml:space="preserve"> </w:t>
      </w:r>
      <w:r>
        <w:t xml:space="preserve">até 40% de OPEX extra em baixa demanda.</w:t>
      </w:r>
    </w:p>
    <w:p>
      <w:r>
        <w:pict>
          <v:rect style="width:0;height:1.5pt" o:hralign="center" o:hrstd="t" o:hr="t"/>
        </w:pict>
      </w:r>
    </w:p>
    <w:bookmarkEnd w:id="31"/>
    <w:bookmarkStart w:id="32" w:name="inteligência-estratégica"/>
    <w:p>
      <w:pPr>
        <w:pStyle w:val="Heading6"/>
      </w:pPr>
      <w:r>
        <w:rPr>
          <w:bCs/>
          <w:b/>
        </w:rP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3.1. Implicações Diretas</w:t>
      </w:r>
      <w:r>
        <w:br/>
      </w:r>
      <w:r>
        <w:t xml:space="preserve">- Capacidade estática gera custos fixos e inflexibilidade.</w:t>
      </w:r>
      <w:r>
        <w:br/>
      </w:r>
      <w:r>
        <w:t xml:space="preserve">- Latência sem SLA reduz P&amp;L via slippage (até 0,5%/trade).</w:t>
      </w:r>
      <w:r>
        <w:br/>
      </w:r>
      <w:r>
        <w:t xml:space="preserve">- Subutilização consome orçamento que poderia apoiar P&amp;D.</w:t>
      </w:r>
    </w:p>
    <w:p>
      <w:pPr>
        <w:pStyle w:val="BodyText"/>
      </w:pPr>
      <w:r>
        <w:rPr>
          <w:bCs/>
          <w:b/>
        </w:rPr>
        <w:t xml:space="preserve">3.2. Oportunidades Estratégicas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Compute Elástico ML-driven:</w:t>
      </w:r>
      <w:r>
        <w:t xml:space="preserve"> </w:t>
      </w:r>
      <w:r>
        <w:t xml:space="preserve">–25% OPEX e burst até 1 500 trades/ciclo.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Trading Simulation as a Service:</w:t>
      </w:r>
      <w:r>
        <w:t xml:space="preserve"> </w:t>
      </w:r>
      <w:r>
        <w:t xml:space="preserve">+5% de receita em horários de baixa.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Multi-Região &amp; Edge Trading:</w:t>
      </w:r>
      <w:r>
        <w:t xml:space="preserve"> </w:t>
      </w:r>
      <w:r>
        <w:t xml:space="preserve">latência &lt;5 ms em NY, Londres, Tóquio.</w:t>
      </w:r>
    </w:p>
    <w:p>
      <w:pPr>
        <w:pStyle w:val="BodyText"/>
      </w:pPr>
      <w:r>
        <w:rPr>
          <w:bCs/>
          <w:b/>
        </w:rPr>
        <w:t xml:space="preserve">3.3. Riscos Ocultos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Slippage em Picos:</w:t>
      </w:r>
      <w:r>
        <w:t xml:space="preserve"> </w:t>
      </w:r>
      <w:r>
        <w:t xml:space="preserve">ordens rejeitadas podem gerar perdas de até 0,5%.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Migração Mal Planejada:</w:t>
      </w:r>
      <w:r>
        <w:t xml:space="preserve"> </w:t>
      </w:r>
      <w:r>
        <w:t xml:space="preserve">downtime e retrabalho sem orchestrator robusto.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Lock-in de Nuvem:</w:t>
      </w:r>
      <w:r>
        <w:t xml:space="preserve"> </w:t>
      </w:r>
      <w:r>
        <w:t xml:space="preserve">falhas regionais ou pricing risk exigem multi-cloud.</w:t>
      </w:r>
    </w:p>
    <w:p>
      <w:r>
        <w:pict>
          <v:rect style="width:0;height:1.5pt" o:hralign="center" o:hrstd="t" o:hr="t"/>
        </w:pict>
      </w:r>
    </w:p>
    <w:bookmarkEnd w:id="32"/>
    <w:bookmarkStart w:id="33" w:name="recomendações-acionáveis"/>
    <w:p>
      <w:pPr>
        <w:pStyle w:val="Heading6"/>
      </w:pPr>
      <w:r>
        <w:rPr>
          <w:bCs/>
          <w:b/>
        </w:rPr>
        <w:t xml:space="preserve">4. Recomendações Acionáveis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Auto-Scaling Preditivo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10 dias:</w:t>
      </w:r>
      <w:r>
        <w:t xml:space="preserve"> </w:t>
      </w:r>
      <w:r>
        <w:t xml:space="preserve">formar task force (Ops, TI, Finanças).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PoC ML-driven.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45 dias:</w:t>
      </w:r>
      <w:r>
        <w:t xml:space="preserve"> </w:t>
      </w:r>
      <w:r>
        <w:t xml:space="preserve">integrar Kubernetes + Terraform.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SLAs de Latência &amp; Margem Dinâmica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5 dias:</w:t>
      </w:r>
      <w:r>
        <w:t xml:space="preserve"> </w:t>
      </w:r>
      <w:r>
        <w:t xml:space="preserve">mapear latências e thresholds.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20 dias:</w:t>
      </w:r>
      <w:r>
        <w:t xml:space="preserve"> </w:t>
      </w:r>
      <w:r>
        <w:t xml:space="preserve">monitoramento real-time (Prometheus + Grafana).</w:t>
      </w:r>
      <w:r>
        <w:br/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45 dias:</w:t>
      </w:r>
      <w:r>
        <w:t xml:space="preserve"> </w:t>
      </w:r>
      <w:r>
        <w:t xml:space="preserve">simulação de margem automática.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Monetizar Capacidade Ociosa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15 dias:</w:t>
      </w:r>
      <w:r>
        <w:t xml:space="preserve"> </w:t>
      </w:r>
      <w:r>
        <w:t xml:space="preserve">desenhar oferta e pricing.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60 dias:</w:t>
      </w:r>
      <w:r>
        <w:t xml:space="preserve"> </w:t>
      </w:r>
      <w:r>
        <w:t xml:space="preserve">piloto beta com 5 clientes.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Estratégia Multi-Cloud Híbrida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20 dias:</w:t>
      </w:r>
      <w:r>
        <w:t xml:space="preserve"> </w:t>
      </w:r>
      <w:r>
        <w:t xml:space="preserve">avaliar AWS/GCP/Azure.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40 dias:</w:t>
      </w:r>
      <w:r>
        <w:t xml:space="preserve"> </w:t>
      </w:r>
      <w:r>
        <w:t xml:space="preserve">prototipar failover (Istio/Linkerd).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90 dias:</w:t>
      </w:r>
      <w:r>
        <w:t xml:space="preserve"> </w:t>
      </w:r>
      <w:r>
        <w:t xml:space="preserve">runbook e treinamento SRE.</w:t>
      </w:r>
    </w:p>
    <w:p>
      <w:r>
        <w:pict>
          <v:rect style="width:0;height:1.5pt" o:hralign="center" o:hrstd="t" o:hr="t"/>
        </w:pict>
      </w:r>
    </w:p>
    <w:bookmarkEnd w:id="33"/>
    <w:bookmarkStart w:id="34" w:name="conclusão-1"/>
    <w:p>
      <w:pPr>
        <w:pStyle w:val="Heading6"/>
      </w:pPr>
      <w:r>
        <w:rPr>
          <w:bCs/>
          <w:b/>
        </w:rPr>
        <w:t xml:space="preserve">5. Conclusão</w:t>
      </w:r>
    </w:p>
    <w:p>
      <w:pPr>
        <w:pStyle w:val="FirstParagraph"/>
      </w:pPr>
      <w:r>
        <w:t xml:space="preserve">A adoção de auto-scaling, SLAs rigorosos e monetização de ocioso reduzirá OPEX em até 25%, incrementará receita e posicionará nossa plataforma como líder em latência ultrabaixa. Cada mês de inércia reforça custos desnecessários e diminui nossa competitividade.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3" w:name="parâmetros-de-otimização-técnicos"/>
    <w:p>
      <w:pPr>
        <w:pStyle w:val="Heading4"/>
      </w:pPr>
      <w:r>
        <w:rPr>
          <w:bCs/>
          <w:b/>
        </w:rPr>
        <w:t xml:space="preserve">2.3. Parâmetros de Otimização Técnicos</w:t>
      </w:r>
    </w:p>
    <w:p>
      <w:pPr>
        <w:pStyle w:val="FirstParagraph"/>
      </w:pPr>
    </w:p>
    <w:bookmarkStart w:id="42" w:name="Xfbf092d143a831d403ebf27dfd11ae3e4669965"/>
    <w:p>
      <w:pPr>
        <w:pStyle w:val="Heading5"/>
      </w:pPr>
      <w:r>
        <w:rPr>
          <w:bCs/>
          <w:b/>
        </w:rP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Mapeamento Profundo dos Inputs-Chave nas Rodadas de Otimização do EA</w:t>
      </w:r>
    </w:p>
    <w:p>
      <w:r>
        <w:pict>
          <v:rect style="width:0;height:1.5pt" o:hralign="center" o:hrstd="t" o:hr="t"/>
        </w:pict>
      </w:r>
    </w:p>
    <w:bookmarkStart w:id="37" w:name="resumo-executivo-3"/>
    <w:p>
      <w:pPr>
        <w:pStyle w:val="Heading6"/>
      </w:pPr>
      <w:r>
        <w:rPr>
          <w:bCs/>
          <w:b/>
        </w:rPr>
        <w:t xml:space="preserve">1. Resumo Executivo</w:t>
      </w:r>
    </w:p>
    <w:p>
      <w:pPr>
        <w:pStyle w:val="FirstParagraph"/>
      </w:pPr>
      <w:r>
        <w:t xml:space="preserve">A calibração dos cinco parâmetros críticos (InpHil, InpAtr, InpZs, InpBr, InpEna) gerou +8% na taxa de acerto e –12% de operações de baixo potencial, protegendo 75% dos lucros com ajustes de break-even. Imperativo:</w:t>
      </w:r>
      <w:r>
        <w:br/>
      </w:r>
      <w:r>
        <w:t xml:space="preserve">1. Automatizar pipeline de otimização em cloud</w:t>
      </w:r>
      <w:r>
        <w:br/>
      </w:r>
      <w:r>
        <w:t xml:space="preserve">2. Implantar monitoramento dinâmico pós-go-live</w:t>
      </w:r>
      <w:r>
        <w:br/>
      </w:r>
      <w:r>
        <w:t xml:space="preserve">3. Iniciar piloto de ajuste dinâmico por ML em 60 dias</w:t>
      </w:r>
    </w:p>
    <w:p>
      <w:r>
        <w:pict>
          <v:rect style="width:0;height:1.5pt" o:hralign="center" o:hrstd="t" o:hr="t"/>
        </w:pict>
      </w:r>
    </w:p>
    <w:bookmarkEnd w:id="37"/>
    <w:bookmarkStart w:id="38" w:name="análise-detalhada"/>
    <w:p>
      <w:pPr>
        <w:pStyle w:val="Heading6"/>
      </w:pPr>
      <w:r>
        <w:rPr>
          <w:bCs/>
          <w:b/>
        </w:rPr>
        <w:t xml:space="preserve">2. Análise Detalhada</w:t>
      </w:r>
    </w:p>
    <w:p>
      <w:pPr>
        <w:pStyle w:val="FirstParagraph"/>
      </w:pPr>
      <w:r>
        <w:rPr>
          <w:bCs/>
          <w:b/>
        </w:rPr>
        <w:t xml:space="preserve">2.1. Contexto e Relevância</w:t>
      </w:r>
      <w:r>
        <w:br/>
      </w:r>
      <w:r>
        <w:t xml:space="preserve">- Trading automatizado exige parametricidade fina; gargalos operacionais e overfitting são riscos.</w:t>
      </w:r>
      <w:r>
        <w:br/>
      </w:r>
      <w:r>
        <w:t xml:space="preserve">- Nossa meta: consistência de performance, menor drawdown e resposta em real time a regimes de volatilidade.</w:t>
      </w:r>
    </w:p>
    <w:p>
      <w:pPr>
        <w:pStyle w:val="BodyText"/>
      </w:pPr>
      <w:r>
        <w:rPr>
          <w:bCs/>
          <w:b/>
        </w:rPr>
        <w:t xml:space="preserve">2.2. Principais Achados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InpHil:</w:t>
      </w:r>
      <w:r>
        <w:t xml:space="preserve"> </w:t>
      </w:r>
      <w:r>
        <w:t xml:space="preserve">3,47–4,20; ótimo em 3,88.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InpAtr:</w:t>
      </w:r>
      <w:r>
        <w:t xml:space="preserve"> </w:t>
      </w:r>
      <w:r>
        <w:t xml:space="preserve">fixo em 130; equilíbrio entre sensibilidade e filtragem de ruído.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InpZs:</w:t>
      </w:r>
      <w:r>
        <w:t xml:space="preserve"> </w:t>
      </w:r>
      <w:r>
        <w:t xml:space="preserve">4,0–4,5; em 4,5: –12% de trades de baixo potencial e +8% de acerto.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InpBr:</w:t>
      </w:r>
      <w:r>
        <w:t xml:space="preserve"> </w:t>
      </w:r>
      <w:r>
        <w:t xml:space="preserve">0,5–20 pontos; &gt;10: stop móvel antecipado protege 75% dos lucros.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InpEna:</w:t>
      </w:r>
      <w:r>
        <w:t xml:space="preserve"> </w:t>
      </w:r>
      <w:r>
        <w:t xml:space="preserve">3 combinações destacadas com 20% menos variância.</w:t>
      </w:r>
    </w:p>
    <w:p>
      <w:pPr>
        <w:pStyle w:val="BodyText"/>
      </w:pPr>
      <w:r>
        <w:rPr>
          <w:bCs/>
          <w:b/>
        </w:rPr>
        <w:t xml:space="preserve">2.3. Gaps Identificados</w:t>
      </w:r>
      <w:r>
        <w:br/>
      </w:r>
      <w:r>
        <w:t xml:space="preserve">- Ausência de testes out-of-sample e por regimes de mercado.</w:t>
      </w:r>
      <w:r>
        <w:br/>
      </w:r>
      <w:r>
        <w:t xml:space="preserve">- Falta de monitoramento em real time para drift paramétrico.</w:t>
      </w:r>
      <w:r>
        <w:br/>
      </w:r>
      <w:r>
        <w:t xml:space="preserve">- Processo manual, sujeito a atrasos e intervenção humana.</w:t>
      </w:r>
    </w:p>
    <w:p>
      <w:r>
        <w:pict>
          <v:rect style="width:0;height:1.5pt" o:hralign="center" o:hrstd="t" o:hr="t"/>
        </w:pict>
      </w:r>
    </w:p>
    <w:bookmarkEnd w:id="38"/>
    <w:bookmarkStart w:id="39" w:name="inteligência-estratégica-1"/>
    <w:p>
      <w:pPr>
        <w:pStyle w:val="Heading6"/>
      </w:pPr>
      <w:r>
        <w:rPr>
          <w:bCs/>
          <w:b/>
        </w:rP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3.1. Implicações Diretas</w:t>
      </w:r>
      <w:r>
        <w:br/>
      </w:r>
      <w:r>
        <w:t xml:space="preserve">- Pequenos ajustes (InpHil, InpZs) têm grande impacto em drawdown e acurácia.</w:t>
      </w:r>
      <w:r>
        <w:br/>
      </w:r>
      <w:r>
        <w:t xml:space="preserve">- InpAtr fixo limita ganhos em picos de volatilidade.</w:t>
      </w:r>
      <w:r>
        <w:br/>
      </w:r>
      <w:r>
        <w:t xml:space="preserve">- Trade-off InpBr: proteção de lucros vs. upside em tendências fortes.</w:t>
      </w:r>
      <w:r>
        <w:br/>
      </w:r>
      <w:r>
        <w:t xml:space="preserve">- Estratégias de InpEna reduzem concentração, mas ampliam escopo de validação.</w:t>
      </w:r>
    </w:p>
    <w:p>
      <w:pPr>
        <w:pStyle w:val="BodyText"/>
      </w:pPr>
      <w:r>
        <w:rPr>
          <w:bCs/>
          <w:b/>
        </w:rPr>
        <w:t xml:space="preserve">3.2. Oportunidades Estratégicas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Pipeline Automatizado:</w:t>
      </w:r>
      <w:r>
        <w:t xml:space="preserve"> </w:t>
      </w:r>
      <w:r>
        <w:t xml:space="preserve">+8% de acerto; –12% de trades de baixo potencial.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Plataforma SaaS de Tuning:</w:t>
      </w:r>
      <w:r>
        <w:t xml:space="preserve"> </w:t>
      </w:r>
      <w:r>
        <w:t xml:space="preserve">receita de US$ 0,5–1 mi/ano.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Ajuste Dinâmico por ML:</w:t>
      </w:r>
      <w:r>
        <w:t xml:space="preserve"> </w:t>
      </w:r>
      <w:r>
        <w:t xml:space="preserve">–5% de drawdown; +3% de retorno anual.</w:t>
      </w:r>
    </w:p>
    <w:p>
      <w:pPr>
        <w:pStyle w:val="BodyText"/>
      </w:pPr>
      <w:r>
        <w:rPr>
          <w:bCs/>
          <w:b/>
        </w:rPr>
        <w:t xml:space="preserve">3.3. Riscos Ocultos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Overfitting de 2ª Ordem:</w:t>
      </w:r>
      <w:r>
        <w:t xml:space="preserve"> </w:t>
      </w:r>
      <w:r>
        <w:t xml:space="preserve">performance pode não se sustentar em real-time.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Rigidez de InpAtr:</w:t>
      </w:r>
      <w:r>
        <w:t xml:space="preserve"> </w:t>
      </w:r>
      <w:r>
        <w:t xml:space="preserve">slippage e sinais falsos em mercados extremos.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Ameaça Competitiva:</w:t>
      </w:r>
      <w:r>
        <w:t xml:space="preserve"> </w:t>
      </w:r>
      <w:r>
        <w:t xml:space="preserve">rivais com ML real-time podem capturar market share.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Custo de Infraestrutura:</w:t>
      </w:r>
      <w:r>
        <w:t xml:space="preserve"> </w:t>
      </w:r>
      <w:r>
        <w:t xml:space="preserve">pipelines de alta frequência exigem CAPEX/OPEX elevado.</w:t>
      </w:r>
    </w:p>
    <w:p>
      <w:r>
        <w:pict>
          <v:rect style="width:0;height:1.5pt" o:hralign="center" o:hrstd="t" o:hr="t"/>
        </w:pict>
      </w:r>
    </w:p>
    <w:bookmarkEnd w:id="39"/>
    <w:bookmarkStart w:id="40" w:name="recomendações-acionáveis-1"/>
    <w:p>
      <w:pPr>
        <w:pStyle w:val="Heading6"/>
      </w:pPr>
      <w:r>
        <w:rPr>
          <w:bCs/>
          <w:b/>
        </w:rPr>
        <w:t xml:space="preserve">4. Recomendações Acionáveis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Pipeline Automatizado de Otimização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15 dias:</w:t>
      </w:r>
      <w:r>
        <w:t xml:space="preserve"> </w:t>
      </w:r>
      <w:r>
        <w:t xml:space="preserve">montar equipe (Trading, Data Science, DevOps).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45 dias:</w:t>
      </w:r>
      <w:r>
        <w:t xml:space="preserve"> </w:t>
      </w:r>
      <w:r>
        <w:t xml:space="preserve">definir arquitetura CI/CD.</w:t>
      </w:r>
      <w:r>
        <w:br/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60 dias:</w:t>
      </w:r>
      <w:r>
        <w:t xml:space="preserve"> </w:t>
      </w:r>
      <w:r>
        <w:t xml:space="preserve">MVP com 3 testes A/B.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Piloto de Ajuste Dinâmico por ML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alocar US$ 200k em P&amp;D; escopo de protótipo.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60 dias:</w:t>
      </w:r>
      <w:r>
        <w:t xml:space="preserve"> </w:t>
      </w:r>
      <w:r>
        <w:t xml:space="preserve">protótipo — meta: –5% drawdown; +0,2 Sharpe.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90 dias:</w:t>
      </w:r>
      <w:r>
        <w:t xml:space="preserve"> </w:t>
      </w:r>
      <w:r>
        <w:t xml:space="preserve">testar em 2 ativos distintos.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Plataforma Externa de Licenciamento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pesquisa de mercado e pricing.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90 dias:</w:t>
      </w:r>
      <w:r>
        <w:t xml:space="preserve"> </w:t>
      </w:r>
      <w:r>
        <w:t xml:space="preserve">MVP SaaS; piloto com 3 clientes.</w:t>
      </w:r>
      <w:r>
        <w:br/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180 dias:</w:t>
      </w:r>
      <w:r>
        <w:t xml:space="preserve"> </w:t>
      </w:r>
      <w:r>
        <w:t xml:space="preserve">lançamento comercial e parcerias.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Governança e Monitoramento Contínuo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10 dias:</w:t>
      </w:r>
      <w:r>
        <w:t xml:space="preserve"> </w:t>
      </w:r>
      <w:r>
        <w:t xml:space="preserve">definir KPIs (drawdown rolling, taxa de acerto, PnL vs expectativa).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dashboard em PowerBI/Tableau + alertas.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Contínuo:</w:t>
      </w:r>
      <w:r>
        <w:t xml:space="preserve"> </w:t>
      </w:r>
      <w:r>
        <w:t xml:space="preserve">revisão quinzenal e ajustes paramétricos.</w:t>
      </w:r>
    </w:p>
    <w:p>
      <w:r>
        <w:pict>
          <v:rect style="width:0;height:1.5pt" o:hralign="center" o:hrstd="t" o:hr="t"/>
        </w:pict>
      </w:r>
    </w:p>
    <w:bookmarkEnd w:id="40"/>
    <w:bookmarkStart w:id="41" w:name="conclusão-2"/>
    <w:p>
      <w:pPr>
        <w:pStyle w:val="Heading6"/>
      </w:pPr>
      <w:r>
        <w:rPr>
          <w:bCs/>
          <w:b/>
        </w:rPr>
        <w:t xml:space="preserve">5. Conclusão</w:t>
      </w:r>
    </w:p>
    <w:p>
      <w:pPr>
        <w:pStyle w:val="FirstParagraph"/>
      </w:pPr>
      <w:r>
        <w:t xml:space="preserve">A micro-parametrização do EA é alavanca crucial, capaz de gerar ganhos de acerto, proteção de lucros e novas receitas. Automação, ML e governança criam vantagem sustentável. A urgência para executar o piloto neste trimestre é crítica para manter nossa liderança.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50" w:name="X3a0501cfb4eb56b4c42ff636f88e4ba5bdcf709"/>
    <w:p>
      <w:pPr>
        <w:pStyle w:val="Heading4"/>
      </w:pPr>
      <w:r>
        <w:rPr>
          <w:bCs/>
          <w:b/>
        </w:rPr>
        <w:t xml:space="preserve">2.4. Histórico de Otimização e Indicadores de Qualidade</w:t>
      </w:r>
    </w:p>
    <w:p>
      <w:pPr>
        <w:pStyle w:val="FirstParagraph"/>
      </w:pPr>
    </w:p>
    <w:bookmarkStart w:id="49" w:name="Xf3ec9217ae3dec4c0b16ac5af630ff1ed8e6b51"/>
    <w:p>
      <w:pPr>
        <w:pStyle w:val="Heading5"/>
      </w:pPr>
      <w:r>
        <w:rPr>
          <w:bCs/>
          <w:b/>
        </w:rP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Compilação e análise das sessões de otimização — scoring e ranking de versões</w:t>
      </w:r>
    </w:p>
    <w:p>
      <w:r>
        <w:pict>
          <v:rect style="width:0;height:1.5pt" o:hralign="center" o:hrstd="t" o:hr="t"/>
        </w:pict>
      </w:r>
    </w:p>
    <w:bookmarkStart w:id="44" w:name="resumo-executivo-4"/>
    <w:p>
      <w:pPr>
        <w:pStyle w:val="Heading6"/>
      </w:pPr>
      <w:r>
        <w:rPr>
          <w:bCs/>
          <w:b/>
        </w:rPr>
        <w:t xml:space="preserve">1. Resumo Executivo</w:t>
      </w:r>
    </w:p>
    <w:p>
      <w:pPr>
        <w:pStyle w:val="FirstParagraph"/>
      </w:pPr>
      <w:r>
        <w:t xml:space="preserve">Otimizações históricas apresentam scores entre 2.234 e 2.551, correlacionados a fatores de retorno de 1,47–1,61 e –15% na volatilidade anual. O repositório centralizado suporta compliance, mas extração manual consome 30% do tempo de quants. Recomendamos lançar, em 60 dias, um</w:t>
      </w:r>
      <w:r>
        <w:t xml:space="preserve"> </w:t>
      </w:r>
      <w:r>
        <w:rPr>
          <w:bCs/>
          <w:b/>
        </w:rPr>
        <w:t xml:space="preserve">Dashboard de Otimização Interativo com versionamento automático</w:t>
      </w:r>
      <w:r>
        <w:t xml:space="preserve"> </w:t>
      </w:r>
      <w:r>
        <w:t xml:space="preserve">para acelerar decisões em 30%, liberar 20% da capacidade analítica e mitigar 25% de riscos de compliance.</w:t>
      </w:r>
    </w:p>
    <w:p>
      <w:r>
        <w:pict>
          <v:rect style="width:0;height:1.5pt" o:hralign="center" o:hrstd="t" o:hr="t"/>
        </w:pict>
      </w:r>
    </w:p>
    <w:bookmarkEnd w:id="44"/>
    <w:bookmarkStart w:id="45" w:name="análise-detalhada-1"/>
    <w:p>
      <w:pPr>
        <w:pStyle w:val="Heading6"/>
      </w:pPr>
      <w:r>
        <w:rPr>
          <w:bCs/>
          <w:b/>
        </w:rPr>
        <w:t xml:space="preserve">2. Análise Detalhada</w:t>
      </w:r>
    </w:p>
    <w:p>
      <w:pPr>
        <w:pStyle w:val="FirstParagraph"/>
      </w:pPr>
      <w:r>
        <w:rPr>
          <w:bCs/>
          <w:b/>
        </w:rPr>
        <w:t xml:space="preserve">2.1. Contexto e Relevância</w:t>
      </w:r>
      <w:r>
        <w:br/>
      </w:r>
      <w:r>
        <w:t xml:space="preserve">- Estratégias rodando em 8 servidores dependem de runs históricos para validar parametrizações.</w:t>
      </w:r>
      <w:r>
        <w:br/>
      </w:r>
      <w:r>
        <w:t xml:space="preserve">- Governança exige transparência e reprodutibilidade para auditorias.</w:t>
      </w:r>
      <w:r>
        <w:br/>
      </w:r>
      <w:r>
        <w:t xml:space="preserve">- Processo manual aumenta time-to-insight e risco de erro.</w:t>
      </w:r>
    </w:p>
    <w:p>
      <w:pPr>
        <w:pStyle w:val="BodyText"/>
      </w:pPr>
      <w:r>
        <w:rPr>
          <w:bCs/>
          <w:b/>
        </w:rPr>
        <w:t xml:space="preserve">2.2. Principais Achados</w:t>
      </w:r>
      <w:r>
        <w:br/>
      </w:r>
      <w:r>
        <w:t xml:space="preserve">- Scores: 2.234–2.551.</w:t>
      </w:r>
      <w:r>
        <w:br/>
      </w:r>
      <w:r>
        <w:t xml:space="preserve">- Parâmetros testados: 1–10 por ciclo; trade-off complexidade vs ganho de score.</w:t>
      </w:r>
      <w:r>
        <w:br/>
      </w:r>
      <w:r>
        <w:t xml:space="preserve">- Scores ≥2.500 correlacionam com fator de retorno ≈1,61 e menor drawdown.</w:t>
      </w:r>
      <w:r>
        <w:br/>
      </w:r>
      <w:r>
        <w:t xml:space="preserve">- Volatilidade anualizada –15% associada a altos scores.</w:t>
      </w:r>
      <w:r>
        <w:br/>
      </w:r>
      <w:r>
        <w:t xml:space="preserve">- Repositório central propicia reconstrução de cenários e compliance.</w:t>
      </w:r>
      <w:r>
        <w:br/>
      </w:r>
      <w:r>
        <w:t xml:space="preserve">- Ajustes marginais além de score 2.500 geram retornos decrescentes.</w:t>
      </w:r>
    </w:p>
    <w:p>
      <w:r>
        <w:pict>
          <v:rect style="width:0;height:1.5pt" o:hralign="center" o:hrstd="t" o:hr="t"/>
        </w:pict>
      </w:r>
    </w:p>
    <w:bookmarkEnd w:id="45"/>
    <w:bookmarkStart w:id="46" w:name="inteligência-estratégica-2"/>
    <w:p>
      <w:pPr>
        <w:pStyle w:val="Heading6"/>
      </w:pPr>
      <w:r>
        <w:rPr>
          <w:bCs/>
          <w:b/>
        </w:rP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3.1. Implicações Diretas</w:t>
      </w:r>
      <w:r>
        <w:br/>
      </w:r>
      <w:r>
        <w:t xml:space="preserve">- Retornos marginais decrescentes após score 2.500: custo ×3 vs ganho líquido 1–2%.</w:t>
      </w:r>
      <w:r>
        <w:br/>
      </w:r>
      <w:r>
        <w:t xml:space="preserve">- Falta de visualização em real time impede reação rápida.</w:t>
      </w:r>
      <w:r>
        <w:br/>
      </w:r>
      <w:r>
        <w:t xml:space="preserve">- Sem automação, escalabilidade é limitada para novos modelos.</w:t>
      </w:r>
    </w:p>
    <w:p>
      <w:pPr>
        <w:pStyle w:val="BodyText"/>
      </w:pPr>
      <w:r>
        <w:rPr>
          <w:bCs/>
          <w:b/>
        </w:rPr>
        <w:t xml:space="preserve">3.2. Oportunidades Estratégicas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Dashboard Interativo:</w:t>
      </w:r>
      <w:r>
        <w:t xml:space="preserve"> </w:t>
      </w:r>
      <w:r>
        <w:t xml:space="preserve">–30% no tempo de análise; –20% no custo operacional dos quants.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Auto-Tuning ML:</w:t>
      </w:r>
      <w:r>
        <w:t xml:space="preserve"> </w:t>
      </w:r>
      <w:r>
        <w:t xml:space="preserve">+5% no retorno ajustado ao risco via AutoML em streaming.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API de Runs Otimizados:</w:t>
      </w:r>
      <w:r>
        <w:t xml:space="preserve"> </w:t>
      </w:r>
      <w:r>
        <w:t xml:space="preserve">monetização via assinatura institucional.</w:t>
      </w:r>
    </w:p>
    <w:p>
      <w:pPr>
        <w:pStyle w:val="BodyText"/>
      </w:pPr>
      <w:r>
        <w:rPr>
          <w:bCs/>
          <w:b/>
        </w:rPr>
        <w:t xml:space="preserve">3.3. Riscos Ocultos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Aceleração Competitiva:</w:t>
      </w:r>
      <w:r>
        <w:t xml:space="preserve"> </w:t>
      </w:r>
      <w:r>
        <w:t xml:space="preserve">concorrentes com AutoML podem capturar market share.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Sobrecarga Operacional:</w:t>
      </w:r>
      <w:r>
        <w:t xml:space="preserve"> </w:t>
      </w:r>
      <w:r>
        <w:t xml:space="preserve">custos e atrasos sem POC ágil.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Compliance/Data Governance:</w:t>
      </w:r>
      <w:r>
        <w:t xml:space="preserve"> </w:t>
      </w:r>
      <w:r>
        <w:t xml:space="preserve">falta de versionamento e logging arrisca multas regulatórias.</w:t>
      </w:r>
    </w:p>
    <w:p>
      <w:r>
        <w:pict>
          <v:rect style="width:0;height:1.5pt" o:hralign="center" o:hrstd="t" o:hr="t"/>
        </w:pict>
      </w:r>
    </w:p>
    <w:bookmarkEnd w:id="46"/>
    <w:bookmarkStart w:id="47" w:name="recomendações-acionáveis-2"/>
    <w:p>
      <w:pPr>
        <w:pStyle w:val="Heading6"/>
      </w:pPr>
      <w:r>
        <w:rPr>
          <w:bCs/>
          <w:b/>
        </w:rPr>
        <w:t xml:space="preserve">4. Recomendações Acionáveis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Dashboard de Otimização Interativo</w:t>
      </w:r>
      <w:r>
        <w:t xml:space="preserve"> </w:t>
      </w:r>
      <w:r>
        <w:t xml:space="preserve">(60 dias)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5 dias:</w:t>
      </w:r>
      <w:r>
        <w:t xml:space="preserve"> </w:t>
      </w:r>
      <w:r>
        <w:t xml:space="preserve">comitê (TI, Quant, Compliance).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10 dias:</w:t>
      </w:r>
      <w:r>
        <w:t xml:space="preserve"> </w:t>
      </w:r>
      <w:r>
        <w:t xml:space="preserve">selecionar stack BI e KPIs.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MVP e validação com 3 runs.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POC de Auto-Tuning ML</w:t>
      </w:r>
      <w:r>
        <w:t xml:space="preserve"> </w:t>
      </w:r>
      <w:r>
        <w:t xml:space="preserve">(90 dias)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10 dias:</w:t>
      </w:r>
      <w:r>
        <w:t xml:space="preserve"> </w:t>
      </w:r>
      <w:r>
        <w:t xml:space="preserve">mapear frameworks AutoML.</w:t>
      </w:r>
      <w:r>
        <w:br/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protótipo streaming + treinamentos.</w:t>
      </w:r>
      <w:r>
        <w:br/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30 dias:</w:t>
      </w:r>
      <w:r>
        <w:t xml:space="preserve"> </w:t>
      </w:r>
      <w:r>
        <w:t xml:space="preserve">backtests e mensuração de ganhos.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API de Runs Otimizados</w:t>
      </w:r>
      <w:r>
        <w:t xml:space="preserve"> </w:t>
      </w:r>
      <w:r>
        <w:t xml:space="preserve">(120 dias)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2 semanas:</w:t>
      </w:r>
      <w:r>
        <w:t xml:space="preserve"> </w:t>
      </w:r>
      <w:r>
        <w:t xml:space="preserve">modelo de negócio e termos.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4 semanas:</w:t>
      </w:r>
      <w:r>
        <w:t xml:space="preserve"> </w:t>
      </w:r>
      <w:r>
        <w:t xml:space="preserve">desenvolvimento e documentação.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4 semanas:</w:t>
      </w:r>
      <w:r>
        <w:t xml:space="preserve"> </w:t>
      </w:r>
      <w:r>
        <w:t xml:space="preserve">piloto com 2 clientes.</w:t>
      </w:r>
    </w:p>
    <w:p>
      <w:r>
        <w:pict>
          <v:rect style="width:0;height:1.5pt" o:hralign="center" o:hrstd="t" o:hr="t"/>
        </w:pict>
      </w:r>
    </w:p>
    <w:bookmarkEnd w:id="47"/>
    <w:bookmarkStart w:id="48" w:name="conclusão-3"/>
    <w:p>
      <w:pPr>
        <w:pStyle w:val="Heading6"/>
      </w:pPr>
      <w:r>
        <w:rPr>
          <w:bCs/>
          <w:b/>
        </w:rPr>
        <w:t xml:space="preserve">5. Conclusão</w:t>
      </w:r>
    </w:p>
    <w:p>
      <w:pPr>
        <w:pStyle w:val="FirstParagraph"/>
      </w:pPr>
      <w:r>
        <w:t xml:space="preserve">A evolução do workflow de otimização — dashboards, AutoML e APIs — é imperativa. Garantirá +30% na velocidade de decisão, +20% na eficiência de custos e +5% no retorno ajustado ao risco, além de blindar compliance. A travessia começa agora.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End w:id="51"/>
    <w:bookmarkStart w:id="57" w:name="X266ac278726e22de192c41391e974255efa5c3b"/>
    <w:p>
      <w:pPr>
        <w:pStyle w:val="Heading3"/>
      </w:pPr>
      <w:r>
        <w:rPr>
          <w:bCs/>
          <w:b/>
        </w:rPr>
        <w:t xml:space="preserve">3. Conclusão Estratégica e Imperativo de Ação</w:t>
      </w:r>
    </w:p>
    <w:p>
      <w:pPr>
        <w:pStyle w:val="FirstParagraph"/>
      </w:pPr>
    </w:p>
    <w:bookmarkStart w:id="56" w:name="memorando-estratégico-final"/>
    <w:p>
      <w:pPr>
        <w:pStyle w:val="Heading4"/>
      </w:pPr>
      <w:r>
        <w:rPr>
          <w:bCs/>
          <w:b/>
        </w:rPr>
        <w:t xml:space="preserve">MEMORANDO ESTRATÉGICO FINAL</w:t>
      </w:r>
    </w:p>
    <w:p>
      <w:pPr>
        <w:pStyle w:val="FirstParagraph"/>
      </w:pPr>
      <w:r>
        <w:rPr>
          <w:bCs/>
          <w:b/>
        </w:rPr>
        <w:t xml:space="preserve">ASSUNTO:</w:t>
      </w:r>
      <w:r>
        <w:t xml:space="preserve"> </w:t>
      </w:r>
      <w:r>
        <w:t xml:space="preserve">Imperativo Integrado para a Próxima Geração de Trading Automatizado</w:t>
      </w:r>
    </w:p>
    <w:p>
      <w:r>
        <w:pict>
          <v:rect style="width:0;height:1.5pt" o:hralign="center" o:hrstd="t" o:hr="t"/>
        </w:pict>
      </w:r>
    </w:p>
    <w:bookmarkStart w:id="52" w:name="o-imperativo-estratégico"/>
    <w:p>
      <w:pPr>
        <w:pStyle w:val="Heading5"/>
      </w:pPr>
      <w:r>
        <w:rPr>
          <w:bCs/>
          <w:b/>
        </w:rPr>
        <w:t xml:space="preserve">1. O Imperativo Estratégico</w:t>
      </w:r>
    </w:p>
    <w:p>
      <w:pPr>
        <w:pStyle w:val="FirstParagraph"/>
      </w:pPr>
      <w:r>
        <w:t xml:space="preserve">Convergir capital, tecnologia e governança numa plataforma autonômica de trading com realocação dinâmica de recursos, otimização contínua por ML e automação total do pipeline operacional.</w:t>
      </w:r>
    </w:p>
    <w:p>
      <w:r>
        <w:pict>
          <v:rect style="width:0;height:1.5pt" o:hralign="center" o:hrstd="t" o:hr="t"/>
        </w:pict>
      </w:r>
    </w:p>
    <w:bookmarkEnd w:id="52"/>
    <w:bookmarkStart w:id="53" w:name="a-narrativa-unificada"/>
    <w:p>
      <w:pPr>
        <w:pStyle w:val="Heading5"/>
      </w:pPr>
      <w:r>
        <w:rPr>
          <w:bCs/>
          <w:b/>
        </w:rPr>
        <w:t xml:space="preserve">2. A Narrativa Unificada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Capital Inteligente:</w:t>
      </w:r>
      <w:r>
        <w:t xml:space="preserve"> </w:t>
      </w:r>
      <w:r>
        <w:t xml:space="preserve">15–20% do portfólio em buckets outliers com drivers ML-replicados.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Infraestrutura Preditiva:</w:t>
      </w:r>
      <w:r>
        <w:t xml:space="preserve"> </w:t>
      </w:r>
      <w:r>
        <w:t xml:space="preserve">auto-scaling multi-cloud, SLAs &lt;10 ms e dashboards real-time.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Otimização Automatizada:</w:t>
      </w:r>
      <w:r>
        <w:t xml:space="preserve"> </w:t>
      </w:r>
      <w:r>
        <w:t xml:space="preserve">pipelines on-demand na nuvem e módulos ML-dinâmicos.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Monetização de Ocioso:</w:t>
      </w:r>
      <w:r>
        <w:t xml:space="preserve"> </w:t>
      </w:r>
      <w:r>
        <w:t xml:space="preserve">Backtesting/Trading Simulation as a Service e APIs de runs.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Governança Rigorosa:</w:t>
      </w:r>
      <w:r>
        <w:t xml:space="preserve"> </w:t>
      </w:r>
      <w:r>
        <w:t xml:space="preserve">KPIs críticos, versionamento automático e alertas de compliance.</w:t>
      </w:r>
    </w:p>
    <w:p>
      <w:r>
        <w:pict>
          <v:rect style="width:0;height:1.5pt" o:hralign="center" o:hrstd="t" o:hr="t"/>
        </w:pict>
      </w:r>
    </w:p>
    <w:bookmarkEnd w:id="53"/>
    <w:bookmarkStart w:id="54" w:name="movimentos-decisivos"/>
    <w:p>
      <w:pPr>
        <w:pStyle w:val="Heading5"/>
      </w:pPr>
      <w:r>
        <w:rPr>
          <w:bCs/>
          <w:b/>
        </w:rPr>
        <w:t xml:space="preserve">3. Movimentos Decisivos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Infraestrutura Preditiva (T+60 dias)</w:t>
      </w:r>
    </w:p>
    <w:p>
      <w:pPr>
        <w:numPr>
          <w:ilvl w:val="1"/>
          <w:numId w:val="1024"/>
        </w:numPr>
        <w:pStyle w:val="Compact"/>
      </w:pPr>
      <w:r>
        <w:t xml:space="preserve">PoC auto-scaling + SLAs em 30 dias; migração completa em 60 dias.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Rebalanceamento de Capital (T+15 dias)</w:t>
      </w:r>
    </w:p>
    <w:p>
      <w:pPr>
        <w:numPr>
          <w:ilvl w:val="1"/>
          <w:numId w:val="1025"/>
        </w:numPr>
        <w:pStyle w:val="Compact"/>
      </w:pPr>
      <w:r>
        <w:t xml:space="preserve">Piloto de 15–20% em buckets top; revisão semanal.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Pipeline de Otimização &amp; ML (T+90 dias)</w:t>
      </w:r>
    </w:p>
    <w:p>
      <w:pPr>
        <w:numPr>
          <w:ilvl w:val="1"/>
          <w:numId w:val="1026"/>
        </w:numPr>
        <w:pStyle w:val="Compact"/>
      </w:pPr>
      <w:r>
        <w:t xml:space="preserve">MVP A/B em nuvem até T+45; piloto RL até T+90.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Dashboard e API Comercial (T+120 dias)</w:t>
      </w:r>
    </w:p>
    <w:p>
      <w:pPr>
        <w:numPr>
          <w:ilvl w:val="1"/>
          <w:numId w:val="1027"/>
        </w:numPr>
        <w:pStyle w:val="Compact"/>
      </w:pPr>
      <w:r>
        <w:t xml:space="preserve">Design + MVP em 60 dias; API de runs em 120 dias.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Monetização de Ocioso (T+90 dias)</w:t>
      </w:r>
    </w:p>
    <w:p>
      <w:pPr>
        <w:numPr>
          <w:ilvl w:val="1"/>
          <w:numId w:val="1028"/>
        </w:numPr>
        <w:pStyle w:val="Compact"/>
      </w:pPr>
      <w:r>
        <w:t xml:space="preserve">Oferta em 60 dias; piloto Backtesting as a Service em 90 dias.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Governança e Monitoramento (T+45 dias)</w:t>
      </w:r>
    </w:p>
    <w:p>
      <w:pPr>
        <w:numPr>
          <w:ilvl w:val="1"/>
          <w:numId w:val="1029"/>
        </w:numPr>
        <w:pStyle w:val="Compact"/>
      </w:pPr>
      <w:r>
        <w:t xml:space="preserve">KPIs e alertas em 15 dias; runbook e compliance em 45 dias.</w:t>
      </w:r>
    </w:p>
    <w:p>
      <w:r>
        <w:pict>
          <v:rect style="width:0;height:1.5pt" o:hralign="center" o:hrstd="t" o:hr="t"/>
        </w:pict>
      </w:r>
    </w:p>
    <w:bookmarkEnd w:id="54"/>
    <w:bookmarkStart w:id="55" w:name="conclusão-e-visão-de-futuro"/>
    <w:p>
      <w:pPr>
        <w:pStyle w:val="Heading5"/>
      </w:pPr>
      <w:r>
        <w:rPr>
          <w:bCs/>
          <w:b/>
        </w:rPr>
        <w:t xml:space="preserve">4. Conclusão e Visão de Futuro</w:t>
      </w:r>
    </w:p>
    <w:p>
      <w:pPr>
        <w:pStyle w:val="FirstParagraph"/>
      </w:pPr>
      <w:r>
        <w:t xml:space="preserve">Em 12–18 meses, projetamos: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–25% OPEX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+15% retorno ajustado ao risco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+5–10% receita recorrente</w:t>
      </w:r>
    </w:p>
    <w:p>
      <w:pPr>
        <w:pStyle w:val="BodyText"/>
      </w:pPr>
      <w:r>
        <w:t xml:space="preserve">A decisão deve ser tomada imediatamente para consolidar nossa posição de liderança em trading automatizado.</w:t>
      </w:r>
    </w:p>
    <w:bookmarkEnd w:id="55"/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2025-07-25T19:32:03Z</dcterms:created>
  <dcterms:modified xsi:type="dcterms:W3CDTF">2025-07-25T19:32:03Z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