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X50b7093ad0d606de9a296840f228757abece338"/>
    <w:p>
      <w:pPr>
        <w:pStyle w:val="Heading1"/>
      </w:pPr>
      <w:r>
        <w:rPr>
          <w:bCs/>
          <w:b/>
        </w:rPr>
        <w:t xml:space="preserve">Lucros Sustentáveis: Estratégias para 2025</w:t>
      </w:r>
    </w:p>
    <w:bookmarkStart w:id="20" w:name="X593926ed787b01754b15c09f268cdc0e7b9303b"/>
    <w:p>
      <w:pPr>
        <w:pStyle w:val="Heading3"/>
      </w:pPr>
      <w:r>
        <w:rPr>
          <w:iCs/>
          <w:i/>
        </w:rPr>
        <w:t xml:space="preserve">Adote orçamento dinâmico, governança de dados e reservas de contingência para estabilizar o fluxo de caixa e mitigar riscos.</w:t>
      </w:r>
    </w:p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 :</w:t>
            </w:r>
            <w:r>
              <w:t xml:space="preserve"> </w:t>
            </w:r>
            <w:r>
              <w:t xml:space="preserve">José Freitas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:</w:t>
            </w:r>
            <w:r>
              <w:t xml:space="preserve"> </w:t>
            </w:r>
            <w:r>
              <w:t xml:space="preserve">2025-07-25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 :</w:t>
            </w:r>
            <w:r>
              <w:t xml:space="preserve"> </w:t>
            </w:r>
            <w:r>
              <w:t xml:space="preserve">Versão inicial</w:t>
            </w:r>
          </w:p>
        </w:tc>
      </w:tr>
    </w:tbl>
    <w:bookmarkEnd w:id="20"/>
    <w:bookmarkStart w:id="21" w:name="índice"/>
    <w:p>
      <w:pPr>
        <w:pStyle w:val="Heading3"/>
      </w:pPr>
      <w:r>
        <w:rPr>
          <w:bCs/>
          <w:b/>
        </w:rPr>
        <w:t xml:space="preserve">Índice</w:t>
      </w:r>
    </w:p>
    <w:p>
      <w:pPr>
        <w:numPr>
          <w:ilvl w:val="0"/>
          <w:numId w:val="1001"/>
        </w:numPr>
        <w:pStyle w:val="Compact"/>
      </w:pPr>
      <w:hyperlink w:anchor="resumo-executivo">
        <w:r>
          <w:rPr>
            <w:rStyle w:val="Hyperlink"/>
          </w:rPr>
          <w:t xml:space="preserve">Resumo Executivo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analises-aprofundadas-dos-topicos">
        <w:r>
          <w:rPr>
            <w:rStyle w:val="Hyperlink"/>
          </w:rPr>
          <w:t xml:space="preserve">Análises Aprofundadas dos Tópicos</w:t>
        </w:r>
      </w:hyperlink>
      <w:r>
        <w:br/>
      </w:r>
      <w:r>
        <w:t xml:space="preserve">  2.1.</w:t>
      </w:r>
      <w:r>
        <w:t xml:space="preserve"> </w:t>
      </w:r>
      <w:hyperlink w:anchor="analise-topico-1">
        <w:r>
          <w:rPr>
            <w:rStyle w:val="Hyperlink"/>
          </w:rPr>
          <w:t xml:space="preserve">Tendências de Lucro Líquido Acumulado</w:t>
        </w:r>
      </w:hyperlink>
      <w:r>
        <w:br/>
      </w:r>
      <w:r>
        <w:t xml:space="preserve">  2.2.</w:t>
      </w:r>
      <w:r>
        <w:t xml:space="preserve"> </w:t>
      </w:r>
      <w:hyperlink w:anchor="analise-topico-2">
        <w:r>
          <w:rPr>
            <w:rStyle w:val="Hyperlink"/>
          </w:rPr>
          <w:t xml:space="preserve">Lacunas e Irregularidades de Coleta de Dados</w:t>
        </w:r>
      </w:hyperlink>
      <w:r>
        <w:br/>
      </w:r>
      <w:r>
        <w:t xml:space="preserve">  2.3.</w:t>
      </w:r>
      <w:r>
        <w:t xml:space="preserve"> </w:t>
      </w:r>
      <w:hyperlink w:anchor="analise-topico-3">
        <w:r>
          <w:rPr>
            <w:rStyle w:val="Hyperlink"/>
          </w:rPr>
          <w:t xml:space="preserve">Orçamento Dinâmico e Mecanismos de Alocação</w:t>
        </w:r>
      </w:hyperlink>
      <w:r>
        <w:br/>
      </w:r>
      <w:r>
        <w:t xml:space="preserve">  2.4.</w:t>
      </w:r>
      <w:r>
        <w:t xml:space="preserve"> </w:t>
      </w:r>
      <w:hyperlink w:anchor="analise-topico-4">
        <w:r>
          <w:rPr>
            <w:rStyle w:val="Hyperlink"/>
          </w:rPr>
          <w:t xml:space="preserve">Reservas de Contingência e Forecast em Real Time</w:t>
        </w:r>
      </w:hyperlink>
      <w:r>
        <w:br/>
      </w:r>
      <w:r>
        <w:t xml:space="preserve">  2.5.</w:t>
      </w:r>
      <w:r>
        <w:t xml:space="preserve"> </w:t>
      </w:r>
      <w:hyperlink w:anchor="analise-topico-5">
        <w:r>
          <w:rPr>
            <w:rStyle w:val="Hyperlink"/>
          </w:rPr>
          <w:t xml:space="preserve">Oportunidades Estratégicas Fora da Caixa</w:t>
        </w:r>
      </w:hyperlink>
      <w:r>
        <w:br/>
      </w:r>
      <w:r>
        <w:t xml:space="preserve">  2.6.</w:t>
      </w:r>
      <w:r>
        <w:t xml:space="preserve"> </w:t>
      </w:r>
      <w:hyperlink w:anchor="analise-topico-6">
        <w:r>
          <w:rPr>
            <w:rStyle w:val="Hyperlink"/>
          </w:rPr>
          <w:t xml:space="preserve">Riscos e Ameaças Ocultas</w:t>
        </w:r>
      </w:hyperlink>
      <w:r>
        <w:br/>
      </w:r>
      <w:r>
        <w:t xml:space="preserve">  2.7.</w:t>
      </w:r>
      <w:r>
        <w:t xml:space="preserve"> </w:t>
      </w:r>
      <w:hyperlink w:anchor="analise-topico-7">
        <w:r>
          <w:rPr>
            <w:rStyle w:val="Hyperlink"/>
          </w:rPr>
          <w:t xml:space="preserve">Recomendações Acionáveis e Próximos Passos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w:anchor="conclusao-estrategica-final">
        <w:r>
          <w:rPr>
            <w:rStyle w:val="Hyperlink"/>
          </w:rPr>
          <w:t xml:space="preserve">Conclusão Estratégica e Imperativo de Ação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2" w:name="resumo-executivo"/>
    <w:p>
      <w:pPr>
        <w:pStyle w:val="Heading3"/>
      </w:pPr>
      <w:r>
        <w:rPr>
          <w:bCs/>
          <w:b/>
        </w:rPr>
        <w:t xml:space="preserve">1. Resumo Executivo</w:t>
      </w:r>
    </w:p>
    <w:p>
      <w:pPr>
        <w:pStyle w:val="FirstParagraph"/>
      </w:pPr>
    </w:p>
    <w:p>
      <w:pPr>
        <w:pStyle w:val="BodyText"/>
      </w:pPr>
      <w:r>
        <w:t xml:space="preserve">A análise consolidada evidencia um ciclo de</w:t>
      </w:r>
      <w:r>
        <w:t xml:space="preserve"> </w:t>
      </w:r>
      <w:r>
        <w:t xml:space="preserve">“</w:t>
      </w:r>
      <w:r>
        <w:t xml:space="preserve">picos e vales</w:t>
      </w:r>
      <w:r>
        <w:t xml:space="preserve">”</w:t>
      </w:r>
      <w:r>
        <w:t xml:space="preserve"> </w:t>
      </w:r>
      <w:r>
        <w:t xml:space="preserve">no lucro líquido (de $0 a $2.400 em fev/25, queda a $0 em abr e recuperação parcial a $900 em jul), decorrente de três deficiências:</w:t>
      </w:r>
    </w:p>
    <w:p>
      <w:pPr>
        <w:numPr>
          <w:ilvl w:val="0"/>
          <w:numId w:val="1002"/>
        </w:numPr>
        <w:pStyle w:val="Compact"/>
      </w:pPr>
      <w:r>
        <w:t xml:space="preserve">Ausência de orçamento dinâmico com gatilhos automáticos para redistribuir até 20% do budget conforme KPIs diários.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Falhas na governança de dados e ETL manual, que atrasam ou comprometem decisões.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Carência de reservas de contingência, hedge financeiro e forecast em tempo real para mitigar choques de receita e reduzir o custo de capital.</w:t>
      </w:r>
    </w:p>
    <w:p>
      <w:pPr>
        <w:pStyle w:val="FirstParagraph"/>
      </w:pPr>
      <w:r>
        <w:t xml:space="preserve">Recomenda-se um programa integrado que combine:</w:t>
      </w:r>
    </w:p>
    <w:p>
      <w:pPr>
        <w:pStyle w:val="BodyText"/>
      </w:pPr>
      <w:r>
        <w:t xml:space="preserve">– Dashboards BI com realocação automática de verba</w:t>
      </w:r>
      <w:r>
        <w:br/>
      </w:r>
      <w:r>
        <w:t xml:space="preserve">– Data Governance Framework end-to-end e pipeline de ETL automatizado</w:t>
      </w:r>
      <w:r>
        <w:br/>
      </w:r>
      <w:r>
        <w:t xml:space="preserve">– Buffer financeiro de 10% da receita com cenários e gatilhos de drawdown</w:t>
      </w:r>
    </w:p>
    <w:p>
      <w:pPr>
        <w:pStyle w:val="BodyText"/>
      </w:pPr>
      <w:r>
        <w:t xml:space="preserve">Em paralelo, iniciativas como oferta off-season, micro-bidding, parcerias logísticas regionais e monetização de módulos SaaS podem suavizar sazonalidades, elevar o próximo pico de lucro em até 15–20% e transformar vulnerabilidades em vantagem competitiva sustentável.</w:t>
      </w:r>
    </w:p>
    <w:p>
      <w:r>
        <w:pict>
          <v:rect style="width:0;height:1.5pt" o:hralign="center" o:hrstd="t" o:hr="t"/>
        </w:pict>
      </w:r>
    </w:p>
    <w:bookmarkEnd w:id="22"/>
    <w:bookmarkStart w:id="65" w:name="análises-aprofundadas-dos-tópicos"/>
    <w:p>
      <w:pPr>
        <w:pStyle w:val="Heading3"/>
      </w:pPr>
      <w:r>
        <w:rPr>
          <w:bCs/>
          <w:b/>
        </w:rPr>
        <w:t xml:space="preserve">2. Análises Aprofundadas dos Tópicos</w:t>
      </w:r>
    </w:p>
    <w:p>
      <w:pPr>
        <w:pStyle w:val="FirstParagraph"/>
      </w:pPr>
    </w:p>
    <w:bookmarkStart w:id="28" w:name="tendências-de-lucro-líquido-acumulado"/>
    <w:p>
      <w:pPr>
        <w:pStyle w:val="Heading4"/>
      </w:pPr>
      <w:r>
        <w:rPr>
          <w:bCs/>
          <w:b/>
        </w:rPr>
        <w:t xml:space="preserve">2.1. Tendências de Lucro Líquido Acumulado</w:t>
      </w:r>
    </w:p>
    <w:p>
      <w:pPr>
        <w:pStyle w:val="FirstParagraph"/>
      </w:pPr>
    </w:p>
    <w:bookmarkStart w:id="27" w:name="X391c2612841f48962d329fa1496f3d96a02fdee"/>
    <w:p>
      <w:pPr>
        <w:pStyle w:val="Heading5"/>
      </w:pPr>
      <w: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Evolução do Lucro Líquido Acumulado (Jan–Jul/25)</w:t>
      </w:r>
    </w:p>
    <w:p>
      <w:r>
        <w:pict>
          <v:rect style="width:0;height:1.5pt" o:hralign="center" o:hrstd="t" o:hr="t"/>
        </w:pict>
      </w:r>
    </w:p>
    <w:bookmarkStart w:id="23" w:name="resumo-executivo-1"/>
    <w:p>
      <w:pPr>
        <w:pStyle w:val="Heading6"/>
      </w:pPr>
      <w:r>
        <w:t xml:space="preserve">1. Resumo Executivo</w:t>
      </w:r>
    </w:p>
    <w:p>
      <w:pPr>
        <w:pStyle w:val="FirstParagraph"/>
      </w:pPr>
      <w:r>
        <w:t xml:space="preserve">Entre 01/01 e 06/02/25, o lucro acumulado saltou de $0 a $2.400; caiu a $0 em 07/04 e recuperou só a $900 em 21/07. Esse padrão de</w:t>
      </w:r>
      <w:r>
        <w:t xml:space="preserve"> </w:t>
      </w:r>
      <w:r>
        <w:t xml:space="preserve">“</w:t>
      </w:r>
      <w:r>
        <w:t xml:space="preserve">picos e vales</w:t>
      </w:r>
      <w:r>
        <w:t xml:space="preserve">”</w:t>
      </w:r>
      <w:r>
        <w:t xml:space="preserve"> </w:t>
      </w:r>
      <w:r>
        <w:t xml:space="preserve">combina sazonalidade, falhas de governança de dados e ausência de buffers financeiros, comprometendo caixa, elevando custo de capital e expondo-nos a riscos de liquidez. Recomendamos, com urgência, orçamento dinâmico, governança de dados em tempo real, reservas de contingência e oferta off-season para elevar o próximo pico a ≥$3.000.</w:t>
      </w:r>
    </w:p>
    <w:p>
      <w:r>
        <w:pict>
          <v:rect style="width:0;height:1.5pt" o:hralign="center" o:hrstd="t" o:hr="t"/>
        </w:pict>
      </w:r>
    </w:p>
    <w:bookmarkEnd w:id="23"/>
    <w:bookmarkStart w:id="24" w:name="análise-detalhada-e-contextualização"/>
    <w:p>
      <w:pPr>
        <w:pStyle w:val="Heading6"/>
      </w:pPr>
      <w:r>
        <w:t xml:space="preserve">2. Análise Detalhada e Contextualização</w:t>
      </w:r>
    </w:p>
    <w:p>
      <w:pPr>
        <w:pStyle w:val="FirstParagraph"/>
      </w:pPr>
      <w:r>
        <w:rPr>
          <w:bCs/>
          <w:b/>
        </w:rPr>
        <w:t xml:space="preserve">2.1. Contexto e Relevância</w:t>
      </w:r>
      <w:r>
        <w:br/>
      </w:r>
      <w:r>
        <w:t xml:space="preserve">- Picos desencadeados por campanhas pontuais geram valor, mas sem buffers provocam quedas abruptas.</w:t>
      </w:r>
      <w:r>
        <w:br/>
      </w:r>
      <w:r>
        <w:t xml:space="preserve">- ETL manual e validações inconsistentes atrasam decisões e viés nas métricas.</w:t>
      </w:r>
      <w:r>
        <w:br/>
      </w:r>
      <w:r>
        <w:t xml:space="preserve">- Volatilidade do fluxo de caixa encarece capital e limita investimentos em P&amp;D.</w:t>
      </w:r>
    </w:p>
    <w:p>
      <w:pPr>
        <w:pStyle w:val="BodyText"/>
      </w:pPr>
      <w:r>
        <w:rPr>
          <w:bCs/>
          <w:b/>
        </w:rPr>
        <w:t xml:space="preserve">2.2. Principais Achados</w:t>
      </w:r>
      <w:r>
        <w:br/>
      </w:r>
      <w:r>
        <w:t xml:space="preserve">- Crescimento de $0 → $2.400 (01/01–06/02)</w:t>
      </w:r>
      <w:r>
        <w:br/>
      </w:r>
      <w:r>
        <w:t xml:space="preserve">- Queda de $2.400 → $0 (06/02–07/04)</w:t>
      </w:r>
      <w:r>
        <w:br/>
      </w:r>
      <w:r>
        <w:t xml:space="preserve">- Recuperação parcial de $0 → $900 (07/04–21/07)</w:t>
      </w:r>
    </w:p>
    <w:p>
      <w:r>
        <w:pict>
          <v:rect style="width:0;height:1.5pt" o:hralign="center" o:hrstd="t" o:hr="t"/>
        </w:pict>
      </w:r>
    </w:p>
    <w:bookmarkEnd w:id="24"/>
    <w:bookmarkStart w:id="25" w:name="X778d8177a80abf8e35fe65497a5e7da33bc0ce1"/>
    <w:p>
      <w:pPr>
        <w:pStyle w:val="Heading6"/>
      </w:pPr>
      <w:r>
        <w:t xml:space="preserve">3. Inteligência Estratégica: Implicações, Oportunidades e Riscos</w:t>
      </w:r>
    </w:p>
    <w:p>
      <w:pPr>
        <w:pStyle w:val="FirstParagraph"/>
      </w:pPr>
      <w:r>
        <w:rPr>
          <w:bCs/>
          <w:b/>
        </w:rPr>
        <w:t xml:space="preserve">3.1. Implicações Diretas</w:t>
      </w:r>
      <w:r>
        <w:br/>
      </w:r>
      <w:r>
        <w:t xml:space="preserve">- Alta alavancagem operacional amplia oscilações de lucro.</w:t>
      </w:r>
      <w:r>
        <w:br/>
      </w:r>
      <w:r>
        <w:t xml:space="preserve">- Ausência de buffers e forecast real-time vulnerabiliza o caixa.</w:t>
      </w:r>
      <w:r>
        <w:br/>
      </w:r>
      <w:r>
        <w:t xml:space="preserve">- Governança insuficiente mina credibilidade e retarda ações corretivas.</w:t>
      </w:r>
    </w:p>
    <w:p>
      <w:pPr>
        <w:pStyle w:val="BodyText"/>
      </w:pPr>
      <w:r>
        <w:rPr>
          <w:bCs/>
          <w:b/>
        </w:rPr>
        <w:t xml:space="preserve">3.2. Oportunidades Fora da Caixa</w:t>
      </w:r>
      <w:r>
        <w:br/>
      </w:r>
      <w:r>
        <w:t xml:space="preserve">- Dynamic Budgeting Avançado: realocar até 20% do budget com BI real-time (+15% no pico).</w:t>
      </w:r>
      <w:r>
        <w:br/>
      </w:r>
      <w:r>
        <w:t xml:space="preserve">- Linha Off-Season Digital: assinatura fev–abr para amortecer queda até 40%.</w:t>
      </w:r>
      <w:r>
        <w:br/>
      </w:r>
      <w:r>
        <w:t xml:space="preserve">- Governança &amp; ETL Automatizado: visão 100% confiável e forecast ≥95% de precisão.</w:t>
      </w:r>
      <w:r>
        <w:br/>
      </w:r>
      <w:r>
        <w:t xml:space="preserve">- Reserva &amp; Hedge Financeiros: contingência de 10% da receita e hedge para reduzir prêmio de risco em 1,5 pp.</w:t>
      </w:r>
    </w:p>
    <w:p>
      <w:pPr>
        <w:pStyle w:val="BodyText"/>
      </w:pPr>
      <w:r>
        <w:rPr>
          <w:bCs/>
          <w:b/>
        </w:rPr>
        <w:t xml:space="preserve">3.3. Riscos Ocultos</w:t>
      </w:r>
      <w:r>
        <w:br/>
      </w:r>
      <w:r>
        <w:t xml:space="preserve">- Competidores ágeis podem capturar market share durante nossas fraquezas.</w:t>
      </w:r>
      <w:r>
        <w:br/>
      </w:r>
      <w:r>
        <w:t xml:space="preserve">- Complexidade de implementação pode atrasar break-even em 3–6 meses e corroer até 5 pp de margem.</w:t>
      </w:r>
      <w:r>
        <w:br/>
      </w:r>
      <w:r>
        <w:t xml:space="preserve">- Oferta off-season mal segmentada pode canibalizar o core.</w:t>
      </w:r>
      <w:r>
        <w:br/>
      </w:r>
      <w:r>
        <w:t xml:space="preserve">- Falhas de governança expõem a riscos regulatórios.</w:t>
      </w:r>
    </w:p>
    <w:p>
      <w:r>
        <w:pict>
          <v:rect style="width:0;height:1.5pt" o:hralign="center" o:hrstd="t" o:hr="t"/>
        </w:pict>
      </w:r>
    </w:p>
    <w:bookmarkEnd w:id="25"/>
    <w:bookmarkStart w:id="26" w:name="recomendações-acionáveis"/>
    <w:p>
      <w:pPr>
        <w:pStyle w:val="Heading6"/>
      </w:pPr>
      <w:r>
        <w:t xml:space="preserve">4. Recomendações Acionáveis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Orçamento Dinâmico com Gatilhos</w:t>
      </w:r>
    </w:p>
    <w:p>
      <w:pPr>
        <w:numPr>
          <w:ilvl w:val="1"/>
          <w:numId w:val="1004"/>
        </w:numPr>
        <w:pStyle w:val="Compact"/>
      </w:pPr>
      <w:r>
        <w:t xml:space="preserve">Task force em 7 dias; KPIs em 14; dashboard em 30; 20% do budget alocado via performance.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Governança &amp; Forecast Real-Time</w:t>
      </w:r>
    </w:p>
    <w:p>
      <w:pPr>
        <w:numPr>
          <w:ilvl w:val="1"/>
          <w:numId w:val="1005"/>
        </w:numPr>
        <w:pStyle w:val="Compact"/>
      </w:pPr>
      <w:r>
        <w:t xml:space="preserve">Ferramenta ETL em 10 dias; padrões de qualidade em 20; piloto em 45; integração ao planejamento.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Linha Off-Season Digital</w:t>
      </w:r>
    </w:p>
    <w:p>
      <w:pPr>
        <w:numPr>
          <w:ilvl w:val="1"/>
          <w:numId w:val="1006"/>
        </w:numPr>
        <w:pStyle w:val="Compact"/>
      </w:pPr>
      <w:r>
        <w:t xml:space="preserve">Pesquisa (N=200) em 14 dias; MVP em 40 dias; escala até fev/26.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Reservas &amp; Hedge Financeiro</w:t>
      </w:r>
    </w:p>
    <w:p>
      <w:pPr>
        <w:numPr>
          <w:ilvl w:val="1"/>
          <w:numId w:val="1007"/>
        </w:numPr>
        <w:pStyle w:val="Compact"/>
      </w:pPr>
      <w:r>
        <w:t xml:space="preserve">Política de 10% em 10 dias; hedge em 15 dias; gatilhos de ativação automática.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Stress-Tests Financeiros</w:t>
      </w:r>
    </w:p>
    <w:p>
      <w:pPr>
        <w:numPr>
          <w:ilvl w:val="1"/>
          <w:numId w:val="1008"/>
        </w:numPr>
        <w:pStyle w:val="Compact"/>
      </w:pPr>
      <w:r>
        <w:t xml:space="preserve">Modelagem otimista/base/pessimista em 20 dias; ajustes trimestrais.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4" w:name="X86d9871f91b0624c987b6c67ae0a460911af61d"/>
    <w:p>
      <w:pPr>
        <w:pStyle w:val="Heading4"/>
      </w:pPr>
      <w:r>
        <w:rPr>
          <w:bCs/>
          <w:b/>
        </w:rPr>
        <w:t xml:space="preserve">2.2. Lacunas e Irregularidades de Coleta de Dados</w:t>
      </w:r>
    </w:p>
    <w:p>
      <w:pPr>
        <w:pStyle w:val="FirstParagraph"/>
      </w:pPr>
    </w:p>
    <w:bookmarkStart w:id="33" w:name="Xf15a5e6b282bdc7af8db925bf105db100ea21df"/>
    <w:p>
      <w:pPr>
        <w:pStyle w:val="Heading5"/>
      </w:pPr>
      <w: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Falhas na periodicidade, formatação e validações dos dados financeiros</w:t>
      </w:r>
    </w:p>
    <w:p>
      <w:r>
        <w:pict>
          <v:rect style="width:0;height:1.5pt" o:hralign="center" o:hrstd="t" o:hr="t"/>
        </w:pict>
      </w:r>
    </w:p>
    <w:bookmarkStart w:id="29" w:name="resumo-executivo-2"/>
    <w:p>
      <w:pPr>
        <w:pStyle w:val="Heading6"/>
      </w:pPr>
      <w:r>
        <w:t xml:space="preserve">1. Resumo Executivo</w:t>
      </w:r>
    </w:p>
    <w:p>
      <w:pPr>
        <w:pStyle w:val="FirstParagraph"/>
      </w:pPr>
      <w:r>
        <w:t xml:space="preserve">Inconsistências geram até 15 h/mês de retrabalho, atrasos de 48 h no fechamento e riscos de compliance. Propomos pipeline ETL automatizado e Data Governance Framework até Q1 para eliminar 95% dos erros, reduzir fechamento em 80% e criar audit trail robusto.</w:t>
      </w:r>
    </w:p>
    <w:p>
      <w:r>
        <w:pict>
          <v:rect style="width:0;height:1.5pt" o:hralign="center" o:hrstd="t" o:hr="t"/>
        </w:pict>
      </w:r>
    </w:p>
    <w:bookmarkEnd w:id="29"/>
    <w:bookmarkStart w:id="30" w:name="análise-detalhada"/>
    <w:p>
      <w:pPr>
        <w:pStyle w:val="Heading6"/>
      </w:pPr>
      <w:r>
        <w:t xml:space="preserve">2. Análise Detalhada</w:t>
      </w:r>
    </w:p>
    <w:p>
      <w:pPr>
        <w:pStyle w:val="FirstParagraph"/>
      </w:pPr>
      <w:r>
        <w:rPr>
          <w:bCs/>
          <w:b/>
        </w:rPr>
        <w:t xml:space="preserve">Contexto:</w:t>
      </w:r>
      <w:r>
        <w:t xml:space="preserve"> </w:t>
      </w:r>
      <w:r>
        <w:t xml:space="preserve">Base de forecasting, alocação de capital e pricing dependem de dados padronizados.</w:t>
      </w:r>
      <w:r>
        <w:br/>
      </w:r>
      <w:r>
        <w:rPr>
          <w:bCs/>
          <w:b/>
        </w:rPr>
        <w:t xml:space="preserve">Achados:</w:t>
      </w:r>
      <w:r>
        <w:br/>
      </w:r>
      <w:r>
        <w:t xml:space="preserve">- Discrepâncias de até 12 h em timestamps</w:t>
      </w:r>
      <w:r>
        <w:br/>
      </w:r>
      <w:r>
        <w:t xml:space="preserve">- 15 h/mês de retrabalho e consolidação atrasada 2 dias</w:t>
      </w:r>
      <w:r>
        <w:br/>
      </w:r>
      <w:r>
        <w:t xml:space="preserve">- Ausência de governança formal e audit trail</w:t>
      </w:r>
    </w:p>
    <w:p>
      <w:r>
        <w:pict>
          <v:rect style="width:0;height:1.5pt" o:hralign="center" o:hrstd="t" o:hr="t"/>
        </w:pict>
      </w:r>
    </w:p>
    <w:bookmarkEnd w:id="30"/>
    <w:bookmarkStart w:id="31" w:name="inteligência-estratégica"/>
    <w:p>
      <w:pPr>
        <w:pStyle w:val="Heading6"/>
      </w:pPr>
      <w:r>
        <w:t xml:space="preserve">3. Inteligência Estratégica</w:t>
      </w:r>
    </w:p>
    <w:p>
      <w:pPr>
        <w:pStyle w:val="FirstParagraph"/>
      </w:pPr>
      <w:r>
        <w:rPr>
          <w:bCs/>
          <w:b/>
        </w:rPr>
        <w:t xml:space="preserve">Implicações:</w:t>
      </w:r>
      <w:r>
        <w:t xml:space="preserve"> </w:t>
      </w:r>
      <w:r>
        <w:t xml:space="preserve">até 10% do budget mal alocado; prêmio de risco +0,5 pp; vulnerabilidade em auditorias.</w:t>
      </w:r>
      <w:r>
        <w:br/>
      </w:r>
      <w:r>
        <w:rPr>
          <w:bCs/>
          <w:b/>
        </w:rPr>
        <w:t xml:space="preserve">Oportunidades:</w:t>
      </w:r>
      <w:r>
        <w:br/>
      </w:r>
      <w:r>
        <w:t xml:space="preserve">- Pipeline ETL 360°: fechar em 8 h, eliminar 95% dos erros</w:t>
      </w:r>
      <w:r>
        <w:br/>
      </w:r>
      <w:r>
        <w:t xml:space="preserve">- Data Quality as a Service interno: potencial +1% de receita</w:t>
      </w:r>
      <w:r>
        <w:br/>
      </w:r>
      <w:r>
        <w:t xml:space="preserve">- Anomalias Predictivas: antecipar choques de caixa</w:t>
      </w:r>
      <w:r>
        <w:br/>
      </w:r>
      <w:r>
        <w:rPr>
          <w:bCs/>
          <w:b/>
        </w:rPr>
        <w:t xml:space="preserve">Riscos:</w:t>
      </w:r>
      <w:r>
        <w:t xml:space="preserve"> </w:t>
      </w:r>
      <w:r>
        <w:t xml:space="preserve">desalinhamento de investimentos; exposições regulatórias; adoção parcial.</w:t>
      </w:r>
    </w:p>
    <w:p>
      <w:r>
        <w:pict>
          <v:rect style="width:0;height:1.5pt" o:hralign="center" o:hrstd="t" o:hr="t"/>
        </w:pict>
      </w:r>
    </w:p>
    <w:bookmarkEnd w:id="31"/>
    <w:bookmarkStart w:id="32" w:name="recomendações"/>
    <w:p>
      <w:pPr>
        <w:pStyle w:val="Heading6"/>
      </w:pPr>
      <w:r>
        <w:t xml:space="preserve">4. Recomendações</w:t>
      </w:r>
    </w:p>
    <w:p>
      <w:pPr>
        <w:numPr>
          <w:ilvl w:val="0"/>
          <w:numId w:val="1009"/>
        </w:numPr>
        <w:pStyle w:val="Compact"/>
      </w:pPr>
      <w:r>
        <w:t xml:space="preserve">Pipeline ETL &amp; Validação em 7 dias; PoC em 30; expansão até Q1.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Data Governance Framework em 5 dias; glossário em 45.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Centro de Data Quality as a Service em 15 dias; piloto em 60; escala no Q3.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Anomalias Predictivas em 30 dias; SLA de alertas em 20; validação no próximo fechamento.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40" w:name="X68565018a28334f50f367b4d923d8a4457aa162"/>
    <w:p>
      <w:pPr>
        <w:pStyle w:val="Heading4"/>
      </w:pPr>
      <w:r>
        <w:rPr>
          <w:bCs/>
          <w:b/>
        </w:rPr>
        <w:t xml:space="preserve">2.3. Orçamento Dinâmico e Mecanismos de Alocação</w:t>
      </w:r>
    </w:p>
    <w:p>
      <w:pPr>
        <w:pStyle w:val="FirstParagraph"/>
      </w:pPr>
    </w:p>
    <w:bookmarkStart w:id="39" w:name="Xfbf092d143a831d403ebf27dfd11ae3e4669965"/>
    <w:p>
      <w:pPr>
        <w:pStyle w:val="Heading5"/>
      </w:pPr>
      <w: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Orçamento Flexível e Gatilhos Automáticos para Redistribuição</w:t>
      </w:r>
    </w:p>
    <w:p>
      <w:r>
        <w:pict>
          <v:rect style="width:0;height:1.5pt" o:hralign="center" o:hrstd="t" o:hr="t"/>
        </w:pict>
      </w:r>
    </w:p>
    <w:bookmarkStart w:id="35" w:name="resumo-executivo-3"/>
    <w:p>
      <w:pPr>
        <w:pStyle w:val="Heading6"/>
      </w:pPr>
      <w:r>
        <w:t xml:space="preserve">1. Resumo Executivo</w:t>
      </w:r>
    </w:p>
    <w:p>
      <w:pPr>
        <w:pStyle w:val="FirstParagraph"/>
      </w:pPr>
      <w:r>
        <w:t xml:space="preserve">Redistribuir até 20% do budget semanal via dashboard BI com alertas em 30 dias suaviza sazonalidades e acelera ROI em até 20%, elevando lucro em 15% e reduzindo custo de capital.</w:t>
      </w:r>
    </w:p>
    <w:p>
      <w:r>
        <w:pict>
          <v:rect style="width:0;height:1.5pt" o:hralign="center" o:hrstd="t" o:hr="t"/>
        </w:pict>
      </w:r>
    </w:p>
    <w:bookmarkEnd w:id="35"/>
    <w:bookmarkStart w:id="36" w:name="análise-detalhada-1"/>
    <w:p>
      <w:pPr>
        <w:pStyle w:val="Heading6"/>
      </w:pPr>
      <w:r>
        <w:t xml:space="preserve">2. Análise Detalhada</w:t>
      </w:r>
    </w:p>
    <w:p>
      <w:pPr>
        <w:numPr>
          <w:ilvl w:val="0"/>
          <w:numId w:val="1010"/>
        </w:numPr>
        <w:pStyle w:val="Compact"/>
      </w:pPr>
      <w:r>
        <w:t xml:space="preserve">Picos e vales evidenciam ausência de real-time budgeting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Orçamento estático alarga riscos de liquidez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Alinha agilidade financeira e maximização de lucros</w:t>
      </w:r>
    </w:p>
    <w:p>
      <w:r>
        <w:pict>
          <v:rect style="width:0;height:1.5pt" o:hralign="center" o:hrstd="t" o:hr="t"/>
        </w:pict>
      </w:r>
    </w:p>
    <w:bookmarkEnd w:id="36"/>
    <w:bookmarkStart w:id="37" w:name="inteligência-estratégica-1"/>
    <w:p>
      <w:pPr>
        <w:pStyle w:val="Heading6"/>
      </w:pPr>
      <w:r>
        <w:t xml:space="preserve">3. Inteligência Estratégica</w:t>
      </w:r>
    </w:p>
    <w:p>
      <w:pPr>
        <w:pStyle w:val="FirstParagraph"/>
      </w:pPr>
      <w:r>
        <w:rPr>
          <w:bCs/>
          <w:b/>
        </w:rPr>
        <w:t xml:space="preserve">Implicações:</w:t>
      </w:r>
      <w:r>
        <w:t xml:space="preserve"> </w:t>
      </w:r>
      <w:r>
        <w:t xml:space="preserve">ROI +10–20%; testes intradiários; exige Data Governance</w:t>
      </w:r>
      <w:r>
        <w:br/>
      </w:r>
      <w:r>
        <w:rPr>
          <w:bCs/>
          <w:b/>
        </w:rPr>
        <w:t xml:space="preserve">Oportunidades:</w:t>
      </w:r>
      <w:r>
        <w:t xml:space="preserve"> </w:t>
      </w:r>
      <w:r>
        <w:t xml:space="preserve">micro-bidding dinâmico; integração com Supply Chain; data sharing via API</w:t>
      </w:r>
      <w:r>
        <w:br/>
      </w:r>
      <w:r>
        <w:rPr>
          <w:bCs/>
          <w:b/>
        </w:rPr>
        <w:t xml:space="preserve">Riscos:</w:t>
      </w:r>
      <w:r>
        <w:t xml:space="preserve"> </w:t>
      </w:r>
      <w:r>
        <w:t xml:space="preserve">erros no ETL; overshooting de ajustes; baixa adoção interna</w:t>
      </w:r>
    </w:p>
    <w:p>
      <w:r>
        <w:pict>
          <v:rect style="width:0;height:1.5pt" o:hralign="center" o:hrstd="t" o:hr="t"/>
        </w:pict>
      </w:r>
    </w:p>
    <w:bookmarkEnd w:id="37"/>
    <w:bookmarkStart w:id="38" w:name="recomendações-1"/>
    <w:p>
      <w:pPr>
        <w:pStyle w:val="Heading6"/>
      </w:pPr>
      <w:r>
        <w:t xml:space="preserve">4. Recomendações</w:t>
      </w:r>
    </w:p>
    <w:p>
      <w:pPr>
        <w:numPr>
          <w:ilvl w:val="0"/>
          <w:numId w:val="1011"/>
        </w:numPr>
        <w:pStyle w:val="Compact"/>
      </w:pPr>
      <w:r>
        <w:t xml:space="preserve">Força-tarefa multidisciplinar em 15 dias; 5 KPIs mapeados.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Dashboard BI em 30 dias; thresholds e pipeline configurados.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Piloto 20% do budget em 45 dias; calibrar após dois ciclos.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Simulações e stress-tests em 20 dias; gatilhos secundários configurados.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6" w:name="X2057c536c3a751e720dac293875f17be6938506"/>
    <w:p>
      <w:pPr>
        <w:pStyle w:val="Heading4"/>
      </w:pPr>
      <w:r>
        <w:rPr>
          <w:bCs/>
          <w:b/>
        </w:rPr>
        <w:t xml:space="preserve">2.4. Reservas de Contingência e Forecast em Real Time</w:t>
      </w:r>
    </w:p>
    <w:p>
      <w:pPr>
        <w:pStyle w:val="FirstParagraph"/>
      </w:pPr>
    </w:p>
    <w:bookmarkStart w:id="45" w:name="Xf3ec9217ae3dec4c0b16ac5af630ff1ed8e6b51"/>
    <w:p>
      <w:pPr>
        <w:pStyle w:val="Heading5"/>
      </w:pPr>
      <w: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Reservas Financeiras, Hedge e Plataforma de Forecast</w:t>
      </w:r>
    </w:p>
    <w:p>
      <w:r>
        <w:pict>
          <v:rect style="width:0;height:1.5pt" o:hralign="center" o:hrstd="t" o:hr="t"/>
        </w:pict>
      </w:r>
    </w:p>
    <w:bookmarkStart w:id="41" w:name="resumo-executivo-4"/>
    <w:p>
      <w:pPr>
        <w:pStyle w:val="Heading6"/>
      </w:pPr>
      <w:r>
        <w:t xml:space="preserve">1. Resumo Executivo</w:t>
      </w:r>
    </w:p>
    <w:p>
      <w:pPr>
        <w:pStyle w:val="FirstParagraph"/>
      </w:pPr>
      <w:r>
        <w:t xml:space="preserve">Sem buffer e hedge, picos de $2.400 viram quedas a $0. Recomendamos, até Q1-2026, reserva de 10% da receita, hedge contra volatilidade e plataforma de forecast em tempo real para reduzir custo de capital em 150 pb e garantir fluxo com ≥95% de precisão.</w:t>
      </w:r>
    </w:p>
    <w:p>
      <w:r>
        <w:pict>
          <v:rect style="width:0;height:1.5pt" o:hralign="center" o:hrstd="t" o:hr="t"/>
        </w:pict>
      </w:r>
    </w:p>
    <w:bookmarkEnd w:id="41"/>
    <w:bookmarkStart w:id="42" w:name="análise-detalhada-2"/>
    <w:p>
      <w:pPr>
        <w:pStyle w:val="Heading6"/>
      </w:pPr>
      <w:r>
        <w:t xml:space="preserve">2. Análise Detalhada</w:t>
      </w:r>
    </w:p>
    <w:p>
      <w:pPr>
        <w:numPr>
          <w:ilvl w:val="0"/>
          <w:numId w:val="1012"/>
        </w:numPr>
        <w:pStyle w:val="Compact"/>
      </w:pPr>
      <w:r>
        <w:t xml:space="preserve">Picos e vales sem reservas nem hedge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Exposição a variações de commodities, FX e juros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Falta de cenários em real-time atrasa contingências</w:t>
      </w:r>
    </w:p>
    <w:p>
      <w:r>
        <w:pict>
          <v:rect style="width:0;height:1.5pt" o:hralign="center" o:hrstd="t" o:hr="t"/>
        </w:pict>
      </w:r>
    </w:p>
    <w:bookmarkEnd w:id="42"/>
    <w:bookmarkStart w:id="43" w:name="inteligência-estratégica-2"/>
    <w:p>
      <w:pPr>
        <w:pStyle w:val="Heading6"/>
      </w:pPr>
      <w:r>
        <w:t xml:space="preserve">3. Inteligência Estratégica</w:t>
      </w:r>
    </w:p>
    <w:p>
      <w:pPr>
        <w:pStyle w:val="FirstParagraph"/>
      </w:pPr>
      <w:r>
        <w:rPr>
          <w:bCs/>
          <w:b/>
        </w:rPr>
        <w:t xml:space="preserve">Implicações:</w:t>
      </w:r>
      <w:r>
        <w:t xml:space="preserve"> </w:t>
      </w:r>
      <w:r>
        <w:t xml:space="preserve">capital de giro sensível; margens voláteis; decisões tardias</w:t>
      </w:r>
      <w:r>
        <w:br/>
      </w:r>
      <w:r>
        <w:rPr>
          <w:bCs/>
          <w:b/>
        </w:rPr>
        <w:t xml:space="preserve">Oportunidades:</w:t>
      </w:r>
      <w:r>
        <w:t xml:space="preserve"> </w:t>
      </w:r>
      <w:r>
        <w:t xml:space="preserve">monetizar forecast (SaaS); yield farming de caixa; hedge paramétrico</w:t>
      </w:r>
      <w:r>
        <w:br/>
      </w:r>
      <w:r>
        <w:rPr>
          <w:bCs/>
          <w:b/>
        </w:rPr>
        <w:t xml:space="preserve">Riscos:</w:t>
      </w:r>
      <w:r>
        <w:t xml:space="preserve"> </w:t>
      </w:r>
      <w:r>
        <w:t xml:space="preserve">basis risk; integração TI complexa; imobilização excessiva do buffer</w:t>
      </w:r>
    </w:p>
    <w:p>
      <w:r>
        <w:pict>
          <v:rect style="width:0;height:1.5pt" o:hralign="center" o:hrstd="t" o:hr="t"/>
        </w:pict>
      </w:r>
    </w:p>
    <w:bookmarkEnd w:id="43"/>
    <w:bookmarkStart w:id="44" w:name="recomendações-2"/>
    <w:p>
      <w:pPr>
        <w:pStyle w:val="Heading6"/>
      </w:pPr>
      <w:r>
        <w:t xml:space="preserve">4. Recomendações</w:t>
      </w:r>
    </w:p>
    <w:p>
      <w:pPr>
        <w:numPr>
          <w:ilvl w:val="0"/>
          <w:numId w:val="1013"/>
        </w:numPr>
        <w:pStyle w:val="Compact"/>
      </w:pPr>
      <w:r>
        <w:t xml:space="preserve">Fundo de Reserva (10%) em 10 dias; aporte mensal e guidelines em 45.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Hedge Financeiro em 15 dias; derivativos contratados em 30; contabilidade IFRS 9 validada em 60.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Plataforma de Forecast em 10 dias; integração em 45; gatilhos em 60.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Crédito Standby em 15 dias; drawdowns simulados em 45.</w:t>
      </w:r>
    </w:p>
    <w:p>
      <w:r>
        <w:pict>
          <v:rect style="width:0;height:1.5pt" o:hralign="center" o:hrstd="t" o:hr="t"/>
        </w:pict>
      </w:r>
    </w:p>
    <w:bookmarkEnd w:id="44"/>
    <w:bookmarkEnd w:id="45"/>
    <w:bookmarkEnd w:id="46"/>
    <w:bookmarkStart w:id="52" w:name="oportunidades-estratégicas-fora-da-caixa"/>
    <w:p>
      <w:pPr>
        <w:pStyle w:val="Heading4"/>
      </w:pPr>
      <w:r>
        <w:rPr>
          <w:bCs/>
          <w:b/>
        </w:rPr>
        <w:t xml:space="preserve">2.5. Oportunidades Estratégicas Fora da Caixa</w:t>
      </w:r>
    </w:p>
    <w:p>
      <w:pPr>
        <w:pStyle w:val="FirstParagraph"/>
      </w:pPr>
    </w:p>
    <w:bookmarkStart w:id="51" w:name="Xed630d96619fca72d78b515026a3671a9beefac"/>
    <w:p>
      <w:pPr>
        <w:pStyle w:val="Heading5"/>
      </w:pPr>
      <w: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Iniciativas Inovadoras para Nichos e Sazonalidades</w:t>
      </w:r>
    </w:p>
    <w:p>
      <w:r>
        <w:pict>
          <v:rect style="width:0;height:1.5pt" o:hralign="center" o:hrstd="t" o:hr="t"/>
        </w:pict>
      </w:r>
    </w:p>
    <w:bookmarkStart w:id="47" w:name="resumo-executivo-5"/>
    <w:p>
      <w:pPr>
        <w:pStyle w:val="Heading6"/>
      </w:pPr>
      <w:r>
        <w:t xml:space="preserve">1. Resumo Executivo</w:t>
      </w:r>
    </w:p>
    <w:p>
      <w:pPr>
        <w:pStyle w:val="FirstParagraph"/>
      </w:pPr>
      <w:r>
        <w:rPr>
          <w:bCs/>
          <w:b/>
        </w:rPr>
        <w:t xml:space="preserve">Project Resilience</w:t>
      </w:r>
      <w:r>
        <w:t xml:space="preserve"> </w:t>
      </w:r>
      <w:r>
        <w:t xml:space="preserve">reúne:</w:t>
      </w:r>
      <w:r>
        <w:br/>
      </w:r>
      <w:r>
        <w:t xml:space="preserve">– Dynamic Budgeting (+15% no pico)</w:t>
      </w:r>
      <w:r>
        <w:br/>
      </w:r>
      <w:r>
        <w:t xml:space="preserve">– Produto Off-Season (suaviza queda em 40%)</w:t>
      </w:r>
      <w:r>
        <w:br/>
      </w:r>
      <w:r>
        <w:t xml:space="preserve">– Parcerias Logísticas (reduz estoque parado em 25%)</w:t>
      </w:r>
    </w:p>
    <w:p>
      <w:pPr>
        <w:pStyle w:val="BodyText"/>
      </w:pPr>
      <w:r>
        <w:t xml:space="preserve">Pilotos em 30–60 dias liberam capital já no próximo trimestre.</w:t>
      </w:r>
    </w:p>
    <w:p>
      <w:r>
        <w:pict>
          <v:rect style="width:0;height:1.5pt" o:hralign="center" o:hrstd="t" o:hr="t"/>
        </w:pict>
      </w:r>
    </w:p>
    <w:bookmarkEnd w:id="47"/>
    <w:bookmarkStart w:id="48" w:name="análise-detalhada-3"/>
    <w:p>
      <w:pPr>
        <w:pStyle w:val="Heading6"/>
      </w:pPr>
      <w:r>
        <w:t xml:space="preserve">2. Análise Detalhada</w:t>
      </w:r>
    </w:p>
    <w:p>
      <w:pPr>
        <w:numPr>
          <w:ilvl w:val="0"/>
          <w:numId w:val="1014"/>
        </w:numPr>
        <w:pStyle w:val="Compact"/>
      </w:pPr>
      <w:r>
        <w:t xml:space="preserve">Picos/vales aumentam custo de capital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Sem amortecedores, fluxos de caixa imprevisíveis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Falta de gatilhos automáticos priva ganhos críticos</w:t>
      </w:r>
    </w:p>
    <w:p>
      <w:r>
        <w:pict>
          <v:rect style="width:0;height:1.5pt" o:hralign="center" o:hrstd="t" o:hr="t"/>
        </w:pict>
      </w:r>
    </w:p>
    <w:bookmarkEnd w:id="48"/>
    <w:bookmarkStart w:id="49" w:name="inteligência-estratégica-3"/>
    <w:p>
      <w:pPr>
        <w:pStyle w:val="Heading6"/>
      </w:pPr>
      <w:r>
        <w:t xml:space="preserve">3. Inteligência Estratégica</w:t>
      </w:r>
    </w:p>
    <w:p>
      <w:pPr>
        <w:pStyle w:val="FirstParagraph"/>
      </w:pPr>
      <w:r>
        <w:rPr>
          <w:bCs/>
          <w:b/>
        </w:rPr>
        <w:t xml:space="preserve">Implicações:</w:t>
      </w:r>
      <w:r>
        <w:t xml:space="preserve"> </w:t>
      </w:r>
      <w:r>
        <w:t xml:space="preserve">depende de dados de alta frequência; exige segmentação cuidadosa; 3PLs podem falhar em picos</w:t>
      </w:r>
      <w:r>
        <w:br/>
      </w:r>
      <w:r>
        <w:rPr>
          <w:bCs/>
          <w:b/>
        </w:rPr>
        <w:t xml:space="preserve">Oportunidades:</w:t>
      </w:r>
      <w:r>
        <w:t xml:space="preserve"> </w:t>
      </w:r>
      <w:r>
        <w:t xml:space="preserve">IA-Driven Budgeting; off-season B2B; micro-fulfillment hubs; monetização de dados</w:t>
      </w:r>
      <w:r>
        <w:br/>
      </w:r>
      <w:r>
        <w:rPr>
          <w:bCs/>
          <w:b/>
        </w:rPr>
        <w:t xml:space="preserve">Riscos:</w:t>
      </w:r>
      <w:r>
        <w:t xml:space="preserve"> </w:t>
      </w:r>
      <w:r>
        <w:t xml:space="preserve">triggers incorretos; SLAs de terceiros; canibalização; sobrecarga de projetos</w:t>
      </w:r>
    </w:p>
    <w:p>
      <w:r>
        <w:pict>
          <v:rect style="width:0;height:1.5pt" o:hralign="center" o:hrstd="t" o:hr="t"/>
        </w:pict>
      </w:r>
    </w:p>
    <w:bookmarkEnd w:id="49"/>
    <w:bookmarkStart w:id="50" w:name="recomendações-3"/>
    <w:p>
      <w:pPr>
        <w:pStyle w:val="Heading6"/>
      </w:pPr>
      <w:r>
        <w:t xml:space="preserve">4. Recomendações</w:t>
      </w:r>
    </w:p>
    <w:p>
      <w:pPr>
        <w:numPr>
          <w:ilvl w:val="0"/>
          <w:numId w:val="1015"/>
        </w:numPr>
        <w:pStyle w:val="Compact"/>
      </w:pPr>
      <w:r>
        <w:t xml:space="preserve">Lançar Project Resilience em 10 dias; governança e KPIs definidos.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Piloto Dynamic Budgeting em 30 dias; +15% no pico.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MVP Off-Season em 45 dias; suavizar curva em 40%.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Parcerias Logísticas em 60 dias; ruptura ≤30%.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Data Governance &amp; Forecast em 30 dias; forecast diário ativo.</w:t>
      </w:r>
    </w:p>
    <w:p>
      <w:r>
        <w:pict>
          <v:rect style="width:0;height:1.5pt" o:hralign="center" o:hrstd="t" o:hr="t"/>
        </w:pict>
      </w:r>
    </w:p>
    <w:bookmarkEnd w:id="50"/>
    <w:bookmarkEnd w:id="51"/>
    <w:bookmarkEnd w:id="52"/>
    <w:bookmarkStart w:id="58" w:name="riscos-e-ameaças-ocultas"/>
    <w:p>
      <w:pPr>
        <w:pStyle w:val="Heading4"/>
      </w:pPr>
      <w:r>
        <w:rPr>
          <w:bCs/>
          <w:b/>
        </w:rPr>
        <w:t xml:space="preserve">2.6. Riscos e Ameaças Ocultas</w:t>
      </w:r>
    </w:p>
    <w:p>
      <w:pPr>
        <w:pStyle w:val="FirstParagraph"/>
      </w:pPr>
    </w:p>
    <w:bookmarkStart w:id="57" w:name="X5c36f8e6ff4596d5eda4b9da1b8b8ddda9dba5f"/>
    <w:p>
      <w:pPr>
        <w:pStyle w:val="Heading5"/>
      </w:pPr>
      <w: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Principais Riscos ao Roadmap de Crescimento</w:t>
      </w:r>
    </w:p>
    <w:p>
      <w:r>
        <w:pict>
          <v:rect style="width:0;height:1.5pt" o:hralign="center" o:hrstd="t" o:hr="t"/>
        </w:pict>
      </w:r>
    </w:p>
    <w:bookmarkStart w:id="53" w:name="resumo-executivo-6"/>
    <w:p>
      <w:pPr>
        <w:pStyle w:val="Heading6"/>
      </w:pPr>
      <w:r>
        <w:t xml:space="preserve">1. Resumo Executivo</w:t>
      </w:r>
    </w:p>
    <w:p>
      <w:pPr>
        <w:pStyle w:val="FirstParagraph"/>
      </w:pPr>
      <w:r>
        <w:t xml:space="preserve">Riscos críticos:</w:t>
      </w:r>
      <w:r>
        <w:br/>
      </w:r>
      <w:r>
        <w:t xml:space="preserve">1. Efeito Bola de Neve Competitiva (perda de 10–15% de market share)</w:t>
      </w:r>
      <w:r>
        <w:br/>
      </w:r>
      <w:r>
        <w:t xml:space="preserve">2. Custo de Transição Operacional (payback em 6–9 m e –5 pp de margem)</w:t>
      </w:r>
      <w:r>
        <w:br/>
      </w:r>
      <w:r>
        <w:t xml:space="preserve">3. Canibalização Interna (–8% no ticket médio)</w:t>
      </w:r>
    </w:p>
    <w:p>
      <w:pPr>
        <w:pStyle w:val="BodyText"/>
      </w:pPr>
      <w:r>
        <w:t xml:space="preserve">Em 60 dias: framework dinâmico, rollout em fases e estratégia off-season segmentada.</w:t>
      </w:r>
    </w:p>
    <w:p>
      <w:r>
        <w:pict>
          <v:rect style="width:0;height:1.5pt" o:hralign="center" o:hrstd="t" o:hr="t"/>
        </w:pict>
      </w:r>
    </w:p>
    <w:bookmarkEnd w:id="53"/>
    <w:bookmarkStart w:id="54" w:name="análise-detalhada-4"/>
    <w:p>
      <w:pPr>
        <w:pStyle w:val="Heading6"/>
      </w:pPr>
      <w:r>
        <w:t xml:space="preserve">2. Análise Detalhada</w:t>
      </w:r>
    </w:p>
    <w:p>
      <w:pPr>
        <w:numPr>
          <w:ilvl w:val="0"/>
          <w:numId w:val="1016"/>
        </w:numPr>
        <w:pStyle w:val="Compact"/>
      </w:pPr>
      <w:r>
        <w:t xml:space="preserve">Vulnerabilidade a choques sem real-time budgeting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Concorrentes já usam alocação automática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Novos produtos off-season podem desviar receita do core</w:t>
      </w:r>
    </w:p>
    <w:p>
      <w:r>
        <w:pict>
          <v:rect style="width:0;height:1.5pt" o:hralign="center" o:hrstd="t" o:hr="t"/>
        </w:pict>
      </w:r>
    </w:p>
    <w:bookmarkEnd w:id="54"/>
    <w:bookmarkStart w:id="55" w:name="inteligência-estratégica-4"/>
    <w:p>
      <w:pPr>
        <w:pStyle w:val="Heading6"/>
      </w:pPr>
      <w:r>
        <w:t xml:space="preserve">3. Inteligência Estratégica</w:t>
      </w:r>
    </w:p>
    <w:p>
      <w:pPr>
        <w:pStyle w:val="FirstParagraph"/>
      </w:pPr>
      <w:r>
        <w:rPr>
          <w:bCs/>
          <w:b/>
        </w:rPr>
        <w:t xml:space="preserve">Implicações:</w:t>
      </w:r>
      <w:r>
        <w:t xml:space="preserve"> </w:t>
      </w:r>
      <w:r>
        <w:t xml:space="preserve">reatividade a pricing; complexidade de TI; risco de compliance</w:t>
      </w:r>
      <w:r>
        <w:br/>
      </w:r>
      <w:r>
        <w:rPr>
          <w:bCs/>
          <w:b/>
        </w:rPr>
        <w:t xml:space="preserve">Oportunidades:</w:t>
      </w:r>
      <w:r>
        <w:t xml:space="preserve"> </w:t>
      </w:r>
      <w:r>
        <w:t xml:space="preserve">Pricing Intelligence as a Service (+2% de receita); pods ágeis regionais; data lake colaborativo</w:t>
      </w:r>
      <w:r>
        <w:br/>
      </w:r>
      <w:r>
        <w:rPr>
          <w:bCs/>
          <w:b/>
        </w:rPr>
        <w:t xml:space="preserve">Riscos:</w:t>
      </w:r>
      <w:r>
        <w:t xml:space="preserve"> </w:t>
      </w:r>
      <w:r>
        <w:t xml:space="preserve">market share cedido; change fatigue; exposição LGPD/GDPR</w:t>
      </w:r>
    </w:p>
    <w:p>
      <w:r>
        <w:pict>
          <v:rect style="width:0;height:1.5pt" o:hralign="center" o:hrstd="t" o:hr="t"/>
        </w:pict>
      </w:r>
    </w:p>
    <w:bookmarkEnd w:id="55"/>
    <w:bookmarkStart w:id="56" w:name="recomendações-4"/>
    <w:p>
      <w:pPr>
        <w:pStyle w:val="Heading6"/>
      </w:pPr>
      <w:r>
        <w:t xml:space="preserve">4. Recomendações</w:t>
      </w:r>
    </w:p>
    <w:p>
      <w:pPr>
        <w:numPr>
          <w:ilvl w:val="0"/>
          <w:numId w:val="1017"/>
        </w:numPr>
        <w:pStyle w:val="Compact"/>
      </w:pPr>
      <w:r>
        <w:t xml:space="preserve">Centro de Monitoramento Competitivo em 10 dias; dashboard em 45.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Rollout Escalonado de TI em 7 dias; expansão em 60.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Segmentação &amp; Pricing Off-Season em 15 dias; piloto em 45.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Governança de Dados &amp; Compliance em 10 dias; auditorias trimestrais.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64" w:name="Xef094a7dd27be541118c2fd87277f3e9938eafd"/>
    <w:p>
      <w:pPr>
        <w:pStyle w:val="Heading4"/>
      </w:pPr>
      <w:r>
        <w:rPr>
          <w:bCs/>
          <w:b/>
        </w:rPr>
        <w:t xml:space="preserve">2.7. Recomendações Acionáveis e Próximos Passos</w:t>
      </w:r>
    </w:p>
    <w:p>
      <w:pPr>
        <w:pStyle w:val="FirstParagraph"/>
      </w:pPr>
    </w:p>
    <w:bookmarkStart w:id="63" w:name="Xb4c9e92b7f711a6da7a550eadfc90926bdc5df0"/>
    <w:p>
      <w:pPr>
        <w:pStyle w:val="Heading5"/>
      </w:pPr>
      <w:r>
        <w:t xml:space="preserve">Relatório de Análise Estratégica Aprofundada</w:t>
      </w:r>
    </w:p>
    <w:p>
      <w:pPr>
        <w:pStyle w:val="FirstParagraph"/>
      </w:pPr>
      <w:r>
        <w:rPr>
          <w:bCs/>
          <w:b/>
        </w:rPr>
        <w:t xml:space="preserve">Tópico em Foco:</w:t>
      </w:r>
      <w:r>
        <w:t xml:space="preserve"> </w:t>
      </w:r>
      <w:r>
        <w:t xml:space="preserve">Plano de Ação Integrado com Prazos, Responsáveis e Métricas</w:t>
      </w:r>
    </w:p>
    <w:p>
      <w:r>
        <w:pict>
          <v:rect style="width:0;height:1.5pt" o:hralign="center" o:hrstd="t" o:hr="t"/>
        </w:pict>
      </w:r>
    </w:p>
    <w:bookmarkStart w:id="59" w:name="resumo-executivo-7"/>
    <w:p>
      <w:pPr>
        <w:pStyle w:val="Heading6"/>
      </w:pPr>
      <w:r>
        <w:t xml:space="preserve">1. Resumo Executivo</w:t>
      </w:r>
    </w:p>
    <w:p>
      <w:pPr>
        <w:pStyle w:val="FirstParagraph"/>
      </w:pPr>
      <w:r>
        <w:t xml:space="preserve">Plano de quatro frentes: Dynamic Budgeting, Off-Season, Logística e Stress-Tests. PMO liderado pelo CFO garantirá pilotos em 60 dias, redução de volatilidade em 30% e caixa blindado contra choques de demanda.</w:t>
      </w:r>
    </w:p>
    <w:p>
      <w:r>
        <w:pict>
          <v:rect style="width:0;height:1.5pt" o:hralign="center" o:hrstd="t" o:hr="t"/>
        </w:pict>
      </w:r>
    </w:p>
    <w:bookmarkEnd w:id="59"/>
    <w:bookmarkStart w:id="60" w:name="análise-detalhada-5"/>
    <w:p>
      <w:pPr>
        <w:pStyle w:val="Heading6"/>
      </w:pPr>
      <w:r>
        <w:t xml:space="preserve">2. Análise Detalhada</w:t>
      </w:r>
    </w:p>
    <w:p>
      <w:pPr>
        <w:numPr>
          <w:ilvl w:val="0"/>
          <w:numId w:val="1018"/>
        </w:numPr>
        <w:pStyle w:val="Compact"/>
      </w:pPr>
      <w:r>
        <w:t xml:space="preserve">Picos e vales expõem falta de buffers e real-time budgeting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Plano Integrado alinha Finanças, Marketing, Supply Chain e TI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Fragmentação de execução elevou custo de capital e risco de credibilidade</w:t>
      </w:r>
    </w:p>
    <w:p>
      <w:r>
        <w:pict>
          <v:rect style="width:0;height:1.5pt" o:hralign="center" o:hrstd="t" o:hr="t"/>
        </w:pict>
      </w:r>
    </w:p>
    <w:bookmarkEnd w:id="60"/>
    <w:bookmarkStart w:id="61" w:name="inteligência-estratégica-5"/>
    <w:p>
      <w:pPr>
        <w:pStyle w:val="Heading6"/>
      </w:pPr>
      <w:r>
        <w:t xml:space="preserve">3. Inteligência Estratégica</w:t>
      </w:r>
    </w:p>
    <w:p>
      <w:pPr>
        <w:pStyle w:val="FirstParagraph"/>
      </w:pPr>
      <w:r>
        <w:rPr>
          <w:bCs/>
          <w:b/>
        </w:rPr>
        <w:t xml:space="preserve">Implicações:</w:t>
      </w:r>
      <w:r>
        <w:t xml:space="preserve"> </w:t>
      </w:r>
      <w:r>
        <w:t xml:space="preserve">risco de silos e ritmo díspare de iniciativas</w:t>
      </w:r>
      <w:r>
        <w:br/>
      </w:r>
      <w:r>
        <w:rPr>
          <w:bCs/>
          <w:b/>
        </w:rPr>
        <w:t xml:space="preserve">Oportunidades:</w:t>
      </w:r>
      <w:r>
        <w:t xml:space="preserve"> </w:t>
      </w:r>
      <w:r>
        <w:t xml:space="preserve">PMO centralizado (+25% de velocidade); up-sell B2B; logística dinâmica integrada; stress-testing automático</w:t>
      </w:r>
      <w:r>
        <w:br/>
      </w:r>
      <w:r>
        <w:rPr>
          <w:bCs/>
          <w:b/>
        </w:rPr>
        <w:t xml:space="preserve">Riscos:</w:t>
      </w:r>
      <w:r>
        <w:t xml:space="preserve"> </w:t>
      </w:r>
      <w:r>
        <w:t xml:space="preserve">sobrecarga de TI; canibalização off-season</w:t>
      </w:r>
    </w:p>
    <w:p>
      <w:r>
        <w:pict>
          <v:rect style="width:0;height:1.5pt" o:hralign="center" o:hrstd="t" o:hr="t"/>
        </w:pict>
      </w:r>
    </w:p>
    <w:bookmarkEnd w:id="61"/>
    <w:bookmarkStart w:id="62" w:name="recomendações-5"/>
    <w:p>
      <w:pPr>
        <w:pStyle w:val="Heading6"/>
      </w:pPr>
      <w:r>
        <w:t xml:space="preserve">4. Recomendações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PMO Integrado (CFO Sponsor)</w:t>
      </w:r>
      <w:r>
        <w:t xml:space="preserve">: charter em 7 dias; ferramenta em 10; roadmap aprovado.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Dynamic Budgeting</w:t>
      </w:r>
      <w:r>
        <w:t xml:space="preserve">: mapear 8 KPIs em 15 dias; dashboard e alerts em 30; realocação a partir de 31.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MVP Off-Season</w:t>
      </w:r>
      <w:r>
        <w:t xml:space="preserve">: pesquisa N=200 em 20 dias; piloto 10% da base em 45; pricing até 55.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Parcerias Logísticas</w:t>
      </w:r>
      <w:r>
        <w:t xml:space="preserve">: 5 parceiros em 10 dias; piloto em 60; ruptura ≤20%.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Stress-Tests</w:t>
      </w:r>
      <w:r>
        <w:t xml:space="preserve">: cenários até 20 dias; gatilhos até 30; resultados em ≤24 h.</w:t>
      </w:r>
    </w:p>
    <w:p>
      <w:r>
        <w:pict>
          <v:rect style="width:0;height:1.5pt" o:hralign="center" o:hrstd="t" o:hr="t"/>
        </w:pict>
      </w:r>
    </w:p>
    <w:bookmarkEnd w:id="62"/>
    <w:bookmarkEnd w:id="63"/>
    <w:bookmarkEnd w:id="64"/>
    <w:bookmarkEnd w:id="65"/>
    <w:bookmarkStart w:id="66" w:name="X266ac278726e22de192c41391e974255efa5c3b"/>
    <w:p>
      <w:pPr>
        <w:pStyle w:val="Heading3"/>
      </w:pPr>
      <w:r>
        <w:rPr>
          <w:bCs/>
          <w:b/>
        </w:rPr>
        <w:t xml:space="preserve">3. Conclusão Estratégica e Imperativo de Ação</w:t>
      </w:r>
    </w:p>
    <w:p>
      <w:pPr>
        <w:pStyle w:val="FirstParagraph"/>
      </w:pPr>
    </w:p>
    <w:bookmarkEnd w:id="66"/>
    <w:bookmarkStart w:id="71" w:name="memorando-estratégico-final"/>
    <w:p>
      <w:pPr>
        <w:pStyle w:val="Heading3"/>
      </w:pPr>
      <w:r>
        <w:t xml:space="preserve">MEMORANDO ESTRATÉGICO FINAL</w:t>
      </w:r>
    </w:p>
    <w:p>
      <w:pPr>
        <w:pStyle w:val="FirstParagraph"/>
      </w:pPr>
      <w:r>
        <w:rPr>
          <w:bCs/>
          <w:b/>
        </w:rPr>
        <w:t xml:space="preserve">ASSUNTO:</w:t>
      </w:r>
      <w:r>
        <w:t xml:space="preserve"> </w:t>
      </w:r>
      <w:r>
        <w:t xml:space="preserve">Transição para Orquestração Dinâmica de Capital e Dados</w:t>
      </w:r>
    </w:p>
    <w:p>
      <w:r>
        <w:pict>
          <v:rect style="width:0;height:1.5pt" o:hralign="center" o:hrstd="t" o:hr="t"/>
        </w:pict>
      </w:r>
    </w:p>
    <w:bookmarkStart w:id="67" w:name="imperativo-estratégico"/>
    <w:p>
      <w:pPr>
        <w:pStyle w:val="Heading4"/>
      </w:pPr>
      <w:r>
        <w:t xml:space="preserve">Imperativo Estratégico</w:t>
      </w:r>
    </w:p>
    <w:p>
      <w:pPr>
        <w:pStyle w:val="FirstParagraph"/>
      </w:pPr>
      <w:r>
        <w:t xml:space="preserve">Migrar urgentemente para operação orientada por dados preditivos e orquestração flexível de capital:</w:t>
      </w:r>
      <w:r>
        <w:br/>
      </w:r>
      <w:r>
        <w:t xml:space="preserve">1. Orçamento dinâmico em real time</w:t>
      </w:r>
      <w:r>
        <w:br/>
      </w:r>
      <w:r>
        <w:t xml:space="preserve">2. Governança de dados e ETL automatizado</w:t>
      </w:r>
      <w:r>
        <w:br/>
      </w:r>
      <w:r>
        <w:t xml:space="preserve">3. Reservas de contingência e hedge</w:t>
      </w:r>
      <w:r>
        <w:br/>
      </w:r>
      <w:r>
        <w:t xml:space="preserve">4. Forecast e stress-tests automáticos</w:t>
      </w:r>
    </w:p>
    <w:p>
      <w:r>
        <w:pict>
          <v:rect style="width:0;height:1.5pt" o:hralign="center" o:hrstd="t" o:hr="t"/>
        </w:pict>
      </w:r>
    </w:p>
    <w:bookmarkEnd w:id="67"/>
    <w:bookmarkStart w:id="68" w:name="visão-integrada"/>
    <w:p>
      <w:pPr>
        <w:pStyle w:val="Heading4"/>
      </w:pPr>
      <w:r>
        <w:t xml:space="preserve">Visão Integrada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Budget + Governance:</w:t>
      </w:r>
      <w:r>
        <w:t xml:space="preserve"> </w:t>
      </w:r>
      <w:r>
        <w:t xml:space="preserve">realocação instantânea de recursos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Off-Season + Hedge:</w:t>
      </w:r>
      <w:r>
        <w:t xml:space="preserve"> </w:t>
      </w:r>
      <w:r>
        <w:t xml:space="preserve">suaviza sazonalidades e protege margens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Forecast + Stress-Tests:</w:t>
      </w:r>
      <w:r>
        <w:t xml:space="preserve"> </w:t>
      </w:r>
      <w:r>
        <w:t xml:space="preserve">ativa contingências antes de perdas</w:t>
      </w:r>
    </w:p>
    <w:p>
      <w:r>
        <w:pict>
          <v:rect style="width:0;height:1.5pt" o:hralign="center" o:hrstd="t" o:hr="t"/>
        </w:pict>
      </w:r>
    </w:p>
    <w:bookmarkEnd w:id="68"/>
    <w:bookmarkStart w:id="69" w:name="movimentos-decisivos"/>
    <w:p>
      <w:pPr>
        <w:pStyle w:val="Heading4"/>
      </w:pPr>
      <w:r>
        <w:t xml:space="preserve">Movimentos Decisivos</w:t>
      </w:r>
    </w:p>
    <w:p>
      <w:pPr>
        <w:numPr>
          <w:ilvl w:val="0"/>
          <w:numId w:val="1021"/>
        </w:numPr>
        <w:pStyle w:val="Compact"/>
      </w:pPr>
      <w:r>
        <w:t xml:space="preserve">PMO integrado até Dia 7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ETL &amp; Data Governance piloto em 45 dias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Dashboard dinâmico em 30 dias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Off-Season &amp; logística piloto em 45-60 dias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Hedge financeiro em 30 dias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Forecast &amp; stress-tests em 60 dias</w:t>
      </w:r>
    </w:p>
    <w:p>
      <w:r>
        <w:pict>
          <v:rect style="width:0;height:1.5pt" o:hralign="center" o:hrstd="t" o:hr="t"/>
        </w:pict>
      </w:r>
    </w:p>
    <w:bookmarkEnd w:id="69"/>
    <w:bookmarkStart w:id="70" w:name="próximos-passos"/>
    <w:p>
      <w:pPr>
        <w:pStyle w:val="Heading4"/>
      </w:pPr>
      <w:r>
        <w:t xml:space="preserve">Próximos Passos</w:t>
      </w:r>
    </w:p>
    <w:p>
      <w:pPr>
        <w:numPr>
          <w:ilvl w:val="0"/>
          <w:numId w:val="1022"/>
        </w:numPr>
        <w:pStyle w:val="Compact"/>
      </w:pPr>
      <w:r>
        <w:t xml:space="preserve">Reduzir volatilidade em 40%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Alcançar pico ≥$3.000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Cortar 150 pb no custo de capital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Consolidar liderança em 12 meses</w:t>
      </w:r>
    </w:p>
    <w:p>
      <w:pPr>
        <w:pStyle w:val="FirstParagraph"/>
      </w:pPr>
      <w:r>
        <w:t xml:space="preserve">Aprovar estratégia e convocar PMO imediatamente.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2025-07-25T20:41:17Z</dcterms:created>
  <dcterms:modified xsi:type="dcterms:W3CDTF">2025-07-25T20:41:17Z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