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lucro-líquido-1h25-de-0-a-2.400"/>
    <w:p>
      <w:pPr>
        <w:pStyle w:val="Heading1"/>
      </w:pPr>
      <w:r>
        <w:t xml:space="preserve">Lucro Líquido 1H25: de $0 a $2.400</w:t>
      </w:r>
    </w:p>
    <w:bookmarkStart w:id="20" w:name="Xa84e0b586521d15941b5795a72d30afff0813df"/>
    <w:p>
      <w:pPr>
        <w:pStyle w:val="Heading3"/>
      </w:pPr>
      <w:r>
        <w:t xml:space="preserve">Orçamento dinâmico, governança de dados e reservas de contingência garantem previsibilidade financeira e reduzem impactos sazonais.</w:t>
      </w:r>
    </w:p>
    <w:p>
      <w:pPr>
        <w:pStyle w:val="FirstParagraph"/>
      </w:pPr>
      <w:r>
        <w:rPr>
          <w:bCs/>
          <w:b/>
        </w:rPr>
        <w:t xml:space="preserve">Autor:</w:t>
      </w:r>
      <w:r>
        <w:t xml:space="preserve"> </w:t>
      </w:r>
      <w:r>
        <w:t xml:space="preserve">José Freitas Alves Neto</w:t>
      </w:r>
      <w:r>
        <w:br/>
      </w:r>
      <w:r>
        <w:rPr>
          <w:bCs/>
          <w:b/>
        </w:rPr>
        <w:t xml:space="preserve">Data:</w:t>
      </w:r>
      <w:r>
        <w:t xml:space="preserve"> </w:t>
      </w:r>
      <w:r>
        <w:t xml:space="preserve">2025-07-25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Versão inicial</w:t>
      </w:r>
    </w:p>
    <w:p>
      <w:r>
        <w:pict>
          <v:rect style="width:0;height:1.5pt" o:hralign="center" o:hrstd="t" o:hr="t"/>
        </w:pict>
      </w:r>
    </w:p>
    <w:bookmarkEnd w:id="20"/>
    <w:bookmarkStart w:id="21" w:name="índice"/>
    <w:p>
      <w:pPr>
        <w:pStyle w:val="Heading2"/>
      </w:pPr>
      <w:r>
        <w:t xml:space="preserve">Índice</w:t>
      </w:r>
    </w:p>
    <w:p>
      <w:pPr>
        <w:numPr>
          <w:ilvl w:val="0"/>
          <w:numId w:val="1001"/>
        </w:numPr>
        <w:pStyle w:val="Compact"/>
      </w:pPr>
      <w:hyperlink w:anchor="Xbe53bf6b57bfac0ad41acd8e1956694b77b6e0a">
        <w:r>
          <w:rPr>
            <w:rStyle w:val="Hyperlink"/>
          </w:rPr>
          <w:t xml:space="preserve">Resumo Executivo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24c9974da730d28eb813f8481ac85b39318e2d9">
        <w:r>
          <w:rPr>
            <w:rStyle w:val="Hyperlink"/>
          </w:rPr>
          <w:t xml:space="preserve">Análises Aprofundadas</w:t>
        </w:r>
      </w:hyperlink>
      <w:r>
        <w:br/>
      </w:r>
      <w:r>
        <w:t xml:space="preserve">2.1</w:t>
      </w:r>
      <w:r>
        <w:t xml:space="preserve"> </w:t>
      </w:r>
      <w:hyperlink w:anchor="X63cf917d3e0fefc6bc24fda95beadace35899fd">
        <w:r>
          <w:rPr>
            <w:rStyle w:val="Hyperlink"/>
          </w:rPr>
          <w:t xml:space="preserve">Padrão de Picos e Vales no Lucro Líquido Acumulado</w:t>
        </w:r>
      </w:hyperlink>
      <w:r>
        <w:br/>
      </w:r>
      <w:r>
        <w:t xml:space="preserve">2.2</w:t>
      </w:r>
      <w:r>
        <w:t xml:space="preserve"> </w:t>
      </w:r>
      <w:hyperlink w:anchor="X2f43063b38715362a292f188411f35d5d44bfbf">
        <w:r>
          <w:rPr>
            <w:rStyle w:val="Hyperlink"/>
          </w:rPr>
          <w:t xml:space="preserve">Evolução do Lucro Líquido Acumulado – Pico, Queda Abrupta e Recuperação Parcial</w:t>
        </w:r>
      </w:hyperlink>
      <w:r>
        <w:br/>
      </w:r>
      <w:r>
        <w:t xml:space="preserve">2.3</w:t>
      </w:r>
      <w:r>
        <w:t xml:space="preserve"> </w:t>
      </w:r>
      <w:hyperlink w:anchor="X4ec2e5dce29c79d649be7c613e51e75ff82f390">
        <w:r>
          <w:rPr>
            <w:rStyle w:val="Hyperlink"/>
          </w:rPr>
          <w:t xml:space="preserve">Deficiências no Protocolo de Coleta de Dados e Falta de Governança &amp; Automação</w:t>
        </w:r>
      </w:hyperlink>
      <w:r>
        <w:br/>
      </w:r>
      <w:r>
        <w:t xml:space="preserve">2.4</w:t>
      </w:r>
      <w:r>
        <w:t xml:space="preserve"> </w:t>
      </w:r>
      <w:hyperlink w:anchor="X4db17e8561f0c47416317612989579d685f313f">
        <w:r>
          <w:rPr>
            <w:rStyle w:val="Hyperlink"/>
          </w:rPr>
          <w:t xml:space="preserve">Implementação Integrada: Orçamento Dinâmico, Reservas &amp; Hedge Financeiro e Forecast em Tempo Real</w:t>
        </w:r>
      </w:hyperlink>
      <w:r>
        <w:br/>
      </w:r>
      <w:r>
        <w:t xml:space="preserve">2.5</w:t>
      </w:r>
      <w:r>
        <w:t xml:space="preserve"> </w:t>
      </w:r>
      <w:hyperlink w:anchor="X1d7431e4dcd22623b628f0aae25728a26edb05e">
        <w:r>
          <w:rPr>
            <w:rStyle w:val="Hyperlink"/>
          </w:rPr>
          <w:t xml:space="preserve">Roadmap Integrado – Orçamento Dinâmico, Data Governance Automático e Reservas de Contingência</w:t>
        </w:r>
      </w:hyperlink>
      <w:r>
        <w:br/>
      </w:r>
      <w:r>
        <w:t xml:space="preserve">2.6</w:t>
      </w:r>
      <w:r>
        <w:t xml:space="preserve"> </w:t>
      </w:r>
      <w:hyperlink w:anchor="Xde657c164026b7045b852381c473487d8a8b293">
        <w:r>
          <w:rPr>
            <w:rStyle w:val="Hyperlink"/>
          </w:rPr>
          <w:t xml:space="preserve">Avaliação da Cobertura Temática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cabde8b2af7d6bd2139ac6329a2dba8ce61222c">
        <w:r>
          <w:rPr>
            <w:rStyle w:val="Hyperlink"/>
          </w:rPr>
          <w:t xml:space="preserve">Conclusão Estratégica e Imperativo de Ação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resumo-executivo"/>
    <w:p>
      <w:pPr>
        <w:pStyle w:val="Heading2"/>
      </w:pPr>
      <w:r>
        <w:t xml:space="preserve">1. Resumo Executivo</w:t>
      </w:r>
    </w:p>
    <w:p>
      <w:pPr>
        <w:pStyle w:val="FirstParagraph"/>
      </w:pPr>
    </w:p>
    <w:p>
      <w:pPr>
        <w:pStyle w:val="BodyText"/>
      </w:pPr>
      <w:r>
        <w:t xml:space="preserve">A análise consolidada revela que a empresa está presa a um ciclo de</w:t>
      </w:r>
      <w:r>
        <w:t xml:space="preserve"> </w:t>
      </w:r>
      <w:r>
        <w:t xml:space="preserve">‘</w:t>
      </w:r>
      <w:r>
        <w:t xml:space="preserve">picos e vales</w:t>
      </w:r>
      <w:r>
        <w:t xml:space="preserve">’</w:t>
      </w:r>
      <w:r>
        <w:t xml:space="preserve"> </w:t>
      </w:r>
      <w:r>
        <w:t xml:space="preserve">de lucro (de US$0 a US$2.400, queda a zero e recuperação a US$900), expondo orçamentos estáticos, governança de dados inconsistente e falta de reservas financeiras. Os relatórios apontam que a adoção integrada de orçamento dinâmico com realocação automatizada, implementação de um Data Governance Framework com pipelines de ETL e validações de qualidade, e a criação de fundos de contingência e plataforma de forecast em tempo real são essenciais para elevar o próximo pico a ≥US$3.000, reduzir a volatilidade em mais de 50% e restaurar a confiança de investidores. Além disso, há oportunidades imediatas em ofertas off-season, monetização de dados como serviço e parcerias logísticas regionais para mitigar sazonalidade e rupturas. A execução rápida dessas iniciativas em 30–60 dias é imperativa para mitigar riscos de liquidez, compliance e integração tecnológica, convertendo vulnerabilidades em vantagem competitiva sustentável.</w:t>
      </w:r>
    </w:p>
    <w:p>
      <w:r>
        <w:pict>
          <v:rect style="width:0;height:1.5pt" o:hralign="center" o:hrstd="t" o:hr="t"/>
        </w:pict>
      </w:r>
    </w:p>
    <w:bookmarkEnd w:id="22"/>
    <w:bookmarkStart w:id="59" w:name="análises-aprofundadas"/>
    <w:p>
      <w:pPr>
        <w:pStyle w:val="Heading2"/>
      </w:pPr>
      <w:r>
        <w:t xml:space="preserve">2. Análises Aprofundadas</w:t>
      </w:r>
    </w:p>
    <w:p>
      <w:pPr>
        <w:pStyle w:val="FirstParagraph"/>
      </w:pPr>
    </w:p>
    <w:bookmarkStart w:id="28" w:name="Xb2e93ed594a1e474d52f93ee235f56eeec061d0"/>
    <w:p>
      <w:pPr>
        <w:pStyle w:val="Heading3"/>
      </w:pPr>
      <w:r>
        <w:t xml:space="preserve">2.1. Padrão de Picos e Vales no Lucro Líquido Acumulado</w:t>
      </w:r>
    </w:p>
    <w:p>
      <w:pPr>
        <w:pStyle w:val="FirstParagraph"/>
      </w:pPr>
    </w:p>
    <w:bookmarkStart w:id="23" w:name="resumo-executivo-1"/>
    <w:p>
      <w:pPr>
        <w:pStyle w:val="Heading4"/>
      </w:pPr>
      <w:r>
        <w:t xml:space="preserve">2.1.1 Resumo Executivo</w:t>
      </w:r>
    </w:p>
    <w:p>
      <w:pPr>
        <w:pStyle w:val="FirstParagraph"/>
      </w:pPr>
      <w:r>
        <w:t xml:space="preserve">De janeiro a julho de 2025, nosso lucro acumulado oscilou de $0 a $2.400, recuou a $0 e subiu apenas a $900. Essa volatilidade extrema expõe falhas em três pilares: orçamento estático, governança de dados e reserva financeira. Sem correções rápidas, sofremos crescente custo de capital, risco de liquidez e perdas de credibilidade junto a investidores e auditores. A medida mais urgente é adotar um</w:t>
      </w:r>
      <w:r>
        <w:t xml:space="preserve"> </w:t>
      </w:r>
      <w:r>
        <w:rPr>
          <w:bCs/>
          <w:b/>
        </w:rPr>
        <w:t xml:space="preserve">Dynamic Budgeting</w:t>
      </w:r>
      <w:r>
        <w:t xml:space="preserve"> </w:t>
      </w:r>
      <w:r>
        <w:t xml:space="preserve">automatizado, um</w:t>
      </w:r>
      <w:r>
        <w:t xml:space="preserve"> </w:t>
      </w:r>
      <w:r>
        <w:rPr>
          <w:bCs/>
          <w:b/>
        </w:rPr>
        <w:t xml:space="preserve">Data Governance Framework</w:t>
      </w:r>
      <w:r>
        <w:t xml:space="preserve"> </w:t>
      </w:r>
      <w:r>
        <w:t xml:space="preserve">e um</w:t>
      </w:r>
      <w:r>
        <w:t xml:space="preserve"> </w:t>
      </w:r>
      <w:r>
        <w:rPr>
          <w:bCs/>
          <w:b/>
        </w:rPr>
        <w:t xml:space="preserve">Fundo de Contingência</w:t>
      </w:r>
      <w:r>
        <w:t xml:space="preserve"> </w:t>
      </w:r>
      <w:r>
        <w:t xml:space="preserve">— elevando o próximo pico a ≥$3.000 e transformando volatilidade em vantagem competitiva.</w:t>
      </w:r>
    </w:p>
    <w:bookmarkEnd w:id="23"/>
    <w:bookmarkStart w:id="24" w:name="análise-detalhada-e-contextualização"/>
    <w:p>
      <w:pPr>
        <w:pStyle w:val="Heading4"/>
      </w:pPr>
      <w:r>
        <w:t xml:space="preserve">2.1.2 Análise Detalhada e Contextualização</w:t>
      </w:r>
    </w:p>
    <w:p>
      <w:pPr>
        <w:pStyle w:val="FirstParagraph"/>
      </w:pPr>
      <w:r>
        <w:rPr>
          <w:bCs/>
          <w:b/>
        </w:rPr>
        <w:t xml:space="preserve">Contexto e Relevância Estratégica</w:t>
      </w:r>
      <w:r>
        <w:br/>
      </w:r>
      <w:r>
        <w:t xml:space="preserve">- Ciclos de</w:t>
      </w:r>
      <w:r>
        <w:t xml:space="preserve"> </w:t>
      </w:r>
      <w:r>
        <w:t xml:space="preserve">“</w:t>
      </w:r>
      <w:r>
        <w:t xml:space="preserve">picos e vales</w:t>
      </w:r>
      <w:r>
        <w:t xml:space="preserve">”</w:t>
      </w:r>
      <w:r>
        <w:t xml:space="preserve"> </w:t>
      </w:r>
      <w:r>
        <w:t xml:space="preserve">minam a previsibilidade de caixa, ampliando nosso custo de capital em até 1,5 p.p.</w:t>
      </w:r>
      <w:r>
        <w:br/>
      </w:r>
      <w:r>
        <w:t xml:space="preserve">- Falhas de formatação e periodicidade nos relatórios atrasam decisões em até 15 dias, prejudicando renegociações de linhas de crédito e compliance.</w:t>
      </w:r>
      <w:r>
        <w:br/>
      </w:r>
      <w:r>
        <w:t xml:space="preserve">- A ausência de gatilhos automáticos de realocação de recursos resulta em sub-otimização de marketing, produção e P&amp;D.</w:t>
      </w:r>
    </w:p>
    <w:p>
      <w:pPr>
        <w:pStyle w:val="BodyText"/>
      </w:pPr>
      <w:r>
        <w:rPr>
          <w:bCs/>
          <w:b/>
        </w:rPr>
        <w:t xml:space="preserve">Principais Achados</w:t>
      </w:r>
      <w:r>
        <w:br/>
      </w:r>
      <w:r>
        <w:t xml:space="preserve">- Pico de $2.400 em 06/02; queda a $0 até 07/04; recuperação a $900 em 21/07.</w:t>
      </w:r>
      <w:r>
        <w:br/>
      </w:r>
      <w:r>
        <w:t xml:space="preserve">- Relatórios mal formatados e não periódicos atrasaram insights e elevaram custo de capital.</w:t>
      </w:r>
    </w:p>
    <w:bookmarkEnd w:id="24"/>
    <w:bookmarkStart w:id="25" w:name="X778d8177a80abf8e35fe65497a5e7da33bc0ce1"/>
    <w:p>
      <w:pPr>
        <w:pStyle w:val="Heading4"/>
      </w:pPr>
      <w:r>
        <w:t xml:space="preserve">2.1.3 Inteligência Estratégica: Implicações, Oportunidades e Riscos</w:t>
      </w:r>
    </w:p>
    <w:p>
      <w:pPr>
        <w:pStyle w:val="FirstParagraph"/>
      </w:pPr>
      <w:r>
        <w:rPr>
          <w:bCs/>
          <w:b/>
        </w:rPr>
        <w:t xml:space="preserve">Implicações Diretas</w:t>
      </w:r>
      <w:r>
        <w:br/>
      </w:r>
      <w:r>
        <w:t xml:space="preserve">- Alta alavancagem operacional: ±10% na receita gera ±50% no lucro acumulado.</w:t>
      </w:r>
      <w:r>
        <w:br/>
      </w:r>
      <w:r>
        <w:t xml:space="preserve">- Risco de liquidez extremo por ausência de buffer.</w:t>
      </w:r>
      <w:r>
        <w:br/>
      </w:r>
      <w:r>
        <w:t xml:space="preserve">- Conformidade e confiança abalam-se com dados atrasados e mal estruturados.</w:t>
      </w:r>
    </w:p>
    <w:p>
      <w:pPr>
        <w:pStyle w:val="BodyText"/>
      </w:pPr>
      <w:r>
        <w:rPr>
          <w:bCs/>
          <w:b/>
        </w:rPr>
        <w:t xml:space="preserve">Oportunidades Estratégicas</w:t>
      </w:r>
      <w:r>
        <w:br/>
      </w:r>
      <w:r>
        <w:t xml:space="preserve">1. Orçamento Dinâmico com IA (+15% no pico)</w:t>
      </w:r>
      <w:r>
        <w:br/>
      </w:r>
      <w:r>
        <w:t xml:space="preserve">2. Linha Off-Season (suaviza queda em até 40%)</w:t>
      </w:r>
      <w:r>
        <w:br/>
      </w:r>
      <w:r>
        <w:t xml:space="preserve">3. Monetização de Insights (~$200K/ano)</w:t>
      </w:r>
      <w:r>
        <w:br/>
      </w:r>
      <w:r>
        <w:t xml:space="preserve">4. Parcerias Logísticas (reduz rupturas em 30%)</w:t>
      </w:r>
    </w:p>
    <w:p>
      <w:pPr>
        <w:pStyle w:val="BodyText"/>
      </w:pPr>
      <w:r>
        <w:rPr>
          <w:bCs/>
          <w:b/>
        </w:rPr>
        <w:t xml:space="preserve">Riscos Ocultos</w:t>
      </w:r>
      <w:r>
        <w:br/>
      </w:r>
      <w:r>
        <w:t xml:space="preserve">- Concorrentes dinâmicos capturam market share.</w:t>
      </w:r>
      <w:r>
        <w:br/>
      </w:r>
      <w:r>
        <w:t xml:space="preserve">- Automação custa $500K e leva 3–4 meses.</w:t>
      </w:r>
      <w:r>
        <w:br/>
      </w:r>
      <w:r>
        <w:t xml:space="preserve">- Oferta off-season mal segmentada reduz ticket médio.</w:t>
      </w:r>
      <w:r>
        <w:br/>
      </w:r>
      <w:r>
        <w:t xml:space="preserve">- Erros de forecast podem erodir margens.</w:t>
      </w:r>
    </w:p>
    <w:bookmarkEnd w:id="25"/>
    <w:bookmarkStart w:id="26" w:name="Xef094a7dd27be541118c2fd87277f3e9938eafd"/>
    <w:p>
      <w:pPr>
        <w:pStyle w:val="Heading4"/>
      </w:pPr>
      <w:r>
        <w:t xml:space="preserve">2.1.4 Recomendações Acionáveis e Próximos Passos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Dynamic Budgeting</w:t>
      </w:r>
    </w:p>
    <w:p>
      <w:pPr>
        <w:numPr>
          <w:ilvl w:val="1"/>
          <w:numId w:val="1003"/>
        </w:numPr>
        <w:pStyle w:val="Compact"/>
      </w:pPr>
      <w:r>
        <w:t xml:space="preserve">Task force Financeiro–TI em 7 dias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Definir 5 KPIs e gatilhos em 14 dias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Dashboard MVP em 30 dias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Governance Framework</w:t>
      </w:r>
    </w:p>
    <w:p>
      <w:pPr>
        <w:numPr>
          <w:ilvl w:val="1"/>
          <w:numId w:val="1004"/>
        </w:numPr>
        <w:pStyle w:val="Compact"/>
      </w:pPr>
      <w:r>
        <w:t xml:space="preserve">Nomear Data Stewards em 5 dias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Configurar ETL/QA em 15 dias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Validar PoC em 30 dias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Fundo de Contingência &amp; Forecast</w:t>
      </w:r>
    </w:p>
    <w:p>
      <w:pPr>
        <w:numPr>
          <w:ilvl w:val="1"/>
          <w:numId w:val="1005"/>
        </w:numPr>
        <w:pStyle w:val="Compact"/>
      </w:pPr>
      <w:r>
        <w:t xml:space="preserve">Alocar 5% da receita em conta reservada em 10 dias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Selecionar solução de forecast em 20 dias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Stress-tests trimestrais a partir do próximo mês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MVP Off-Season</w:t>
      </w:r>
    </w:p>
    <w:p>
      <w:pPr>
        <w:numPr>
          <w:ilvl w:val="1"/>
          <w:numId w:val="1006"/>
        </w:numPr>
        <w:pStyle w:val="Compact"/>
      </w:pPr>
      <w:r>
        <w:t xml:space="preserve">Pesquisa com 200 clientes em 10 dias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Pilotar com 5% da base em 30 dias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Ajustar pricing e escalar</w:t>
      </w:r>
    </w:p>
    <w:bookmarkEnd w:id="26"/>
    <w:bookmarkStart w:id="27" w:name="conclusão"/>
    <w:p>
      <w:pPr>
        <w:pStyle w:val="Heading4"/>
      </w:pPr>
      <w:r>
        <w:t xml:space="preserve">2.1.5 Conclusão</w:t>
      </w:r>
    </w:p>
    <w:p>
      <w:pPr>
        <w:pStyle w:val="FirstParagraph"/>
      </w:pPr>
      <w:r>
        <w:t xml:space="preserve">Sem intervenção imediata em budget, dados e reservas, continuaremos reféns de picos e vales que corroem nossa liquidez e reputação. A adoção integrada das iniciativas propostas não só mitiga riscos de liquidez e compliance, mas converte volatilidade em alavanca para alcançar um novo pico ≥$3.000, consolidando nossa liderança.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X033e10a1cda7c843abc0b9e19c5614480ba68f1"/>
    <w:p>
      <w:pPr>
        <w:pStyle w:val="Heading3"/>
      </w:pPr>
      <w:r>
        <w:t xml:space="preserve">2.2. Evolução do Lucro Líquido Acumulado – Pico, Queda Abrupta e Recuperação Parcial</w:t>
      </w:r>
    </w:p>
    <w:p>
      <w:pPr>
        <w:pStyle w:val="FirstParagraph"/>
      </w:pPr>
    </w:p>
    <w:bookmarkStart w:id="29" w:name="resumo-executivo-2"/>
    <w:p>
      <w:pPr>
        <w:pStyle w:val="Heading4"/>
      </w:pPr>
      <w:r>
        <w:t xml:space="preserve">2.2.1 Resumo Executivo</w:t>
      </w:r>
    </w:p>
    <w:p>
      <w:pPr>
        <w:pStyle w:val="FirstParagraph"/>
      </w:pPr>
      <w:r>
        <w:t xml:space="preserve">Em 1H25, atingimos um pico de $2.400 em 36 dias, seguido por queda a zero em 60 dias e recuperação a $900 (37,5% do pico). Esse padrão expõe alta alavancagem operacional e ausência de gatilhos automáticos. A ação prioritária é implementar orçamento dinâmico com alertas em tempo real e oferta off-season para elevar o próximo pico acima de $3.000 e reduzir quedas em ≥50%.</w:t>
      </w:r>
    </w:p>
    <w:bookmarkEnd w:id="29"/>
    <w:bookmarkStart w:id="30" w:name="análise-detalhada-e-contextualização-1"/>
    <w:p>
      <w:pPr>
        <w:pStyle w:val="Heading4"/>
      </w:pPr>
      <w:r>
        <w:t xml:space="preserve">2.2.2 Análise Detalhada e Contextualização</w:t>
      </w:r>
    </w:p>
    <w:p>
      <w:pPr>
        <w:pStyle w:val="FirstParagraph"/>
      </w:pPr>
      <w:r>
        <w:rPr>
          <w:bCs/>
          <w:b/>
        </w:rPr>
        <w:t xml:space="preserve">Contexto</w:t>
      </w:r>
      <w:r>
        <w:br/>
      </w:r>
      <w:r>
        <w:t xml:space="preserve">- Ganhos pontuais não se sustentam sem resposta imediata.</w:t>
      </w:r>
      <w:r>
        <w:br/>
      </w:r>
      <w:r>
        <w:t xml:space="preserve">- Volatilidade compromete fluxo de caixa e onera capital.</w:t>
      </w:r>
      <w:r>
        <w:br/>
      </w:r>
      <w:r>
        <w:t xml:space="preserve">- Decisões reativas por falta de gatilhos.</w:t>
      </w:r>
    </w:p>
    <w:p>
      <w:pPr>
        <w:pStyle w:val="BodyText"/>
      </w:pPr>
      <w:r>
        <w:rPr>
          <w:bCs/>
          <w:b/>
        </w:rPr>
        <w:t xml:space="preserve">Principais Achados</w:t>
      </w:r>
      <w:r>
        <w:br/>
      </w:r>
      <w:r>
        <w:t xml:space="preserve">- $0→$2.400 em 36 dias; queda a $0 em 60 dias; recuperação a $900.</w:t>
      </w:r>
      <w:r>
        <w:br/>
      </w:r>
      <w:r>
        <w:t xml:space="preserve">- Falha em preservar ponto de equilíbrio.</w:t>
      </w:r>
    </w:p>
    <w:bookmarkEnd w:id="30"/>
    <w:bookmarkStart w:id="31" w:name="inteligência-estratégica"/>
    <w:p>
      <w:pPr>
        <w:pStyle w:val="Heading4"/>
      </w:pPr>
      <w:r>
        <w:t xml:space="preserve">2.2.3 Inteligência Estratégica</w:t>
      </w:r>
    </w:p>
    <w:p>
      <w:pPr>
        <w:pStyle w:val="FirstParagraph"/>
      </w:pPr>
      <w:r>
        <w:rPr>
          <w:bCs/>
          <w:b/>
        </w:rPr>
        <w:t xml:space="preserve">Implicações</w:t>
      </w:r>
      <w:r>
        <w:br/>
      </w:r>
      <w:r>
        <w:t xml:space="preserve">- Alavancagem operacional amplifica oscilações.</w:t>
      </w:r>
      <w:r>
        <w:br/>
      </w:r>
      <w:r>
        <w:t xml:space="preserve">- Ausência de buffer e hedge agrava riscos.</w:t>
      </w:r>
    </w:p>
    <w:p>
      <w:pPr>
        <w:pStyle w:val="BodyText"/>
      </w:pPr>
      <w:r>
        <w:rPr>
          <w:bCs/>
          <w:b/>
        </w:rPr>
        <w:t xml:space="preserve">Oportunidades</w:t>
      </w:r>
      <w:r>
        <w:br/>
      </w:r>
      <w:r>
        <w:t xml:space="preserve">- Orçamento Dinâmico &amp; BI</w:t>
      </w:r>
      <w:r>
        <w:br/>
      </w:r>
      <w:r>
        <w:t xml:space="preserve">- Produto Off-Season</w:t>
      </w:r>
      <w:r>
        <w:br/>
      </w:r>
      <w:r>
        <w:t xml:space="preserve">- Parcerias de Co-estoque</w:t>
      </w:r>
      <w:r>
        <w:br/>
      </w:r>
      <w:r>
        <w:t xml:space="preserve">- Hedge Paramétrico</w:t>
      </w:r>
    </w:p>
    <w:p>
      <w:pPr>
        <w:pStyle w:val="BodyText"/>
      </w:pPr>
      <w:r>
        <w:rPr>
          <w:bCs/>
          <w:b/>
        </w:rPr>
        <w:t xml:space="preserve">Riscos</w:t>
      </w:r>
      <w:r>
        <w:br/>
      </w:r>
      <w:r>
        <w:t xml:space="preserve">- Concorrentes ágeis capturam share.</w:t>
      </w:r>
      <w:r>
        <w:br/>
      </w:r>
      <w:r>
        <w:t xml:space="preserve">- CAPEX e integração atrasam go-live.</w:t>
      </w:r>
      <w:r>
        <w:br/>
      </w:r>
      <w:r>
        <w:t xml:space="preserve">- Resistência cultural e canibalização.</w:t>
      </w:r>
    </w:p>
    <w:bookmarkEnd w:id="31"/>
    <w:bookmarkStart w:id="32" w:name="recomendações"/>
    <w:p>
      <w:pPr>
        <w:pStyle w:val="Heading4"/>
      </w:pPr>
      <w:r>
        <w:t xml:space="preserve">2.2.4 Recomendações</w:t>
      </w:r>
    </w:p>
    <w:p>
      <w:pPr>
        <w:numPr>
          <w:ilvl w:val="0"/>
          <w:numId w:val="1007"/>
        </w:numPr>
        <w:pStyle w:val="Compact"/>
      </w:pPr>
      <w:r>
        <w:t xml:space="preserve">Orçamento Dinâmico com Gatilhos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Linha Off-Season Recorrente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Data Governance &amp; Forecast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Hedge Financeiro</w:t>
      </w:r>
    </w:p>
    <w:bookmarkEnd w:id="32"/>
    <w:bookmarkStart w:id="33" w:name="conclusão-1"/>
    <w:p>
      <w:pPr>
        <w:pStyle w:val="Heading4"/>
      </w:pPr>
      <w:r>
        <w:t xml:space="preserve">2.2.5 Conclusão</w:t>
      </w:r>
    </w:p>
    <w:p>
      <w:pPr>
        <w:pStyle w:val="FirstParagraph"/>
      </w:pPr>
      <w:r>
        <w:t xml:space="preserve">Com orçamento dinâmico, ofertas sazonais, governança de dados e hedge, podemos elevar o próximo pico &gt;$3.000, reduzir quedas em 50% e transformar volatilidade em vantagem competitiva. A execução imediata é essencial.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0" w:name="X43c511604a4e7b93e37712c293212e2961aa069"/>
    <w:p>
      <w:pPr>
        <w:pStyle w:val="Heading3"/>
      </w:pPr>
      <w:r>
        <w:t xml:space="preserve">2.3. Deficiências no Protocolo de Coleta de Dados e Falta de Governança &amp; Automação</w:t>
      </w:r>
    </w:p>
    <w:p>
      <w:pPr>
        <w:pStyle w:val="FirstParagraph"/>
      </w:pPr>
    </w:p>
    <w:bookmarkStart w:id="35" w:name="resumo-executivo-3"/>
    <w:p>
      <w:pPr>
        <w:pStyle w:val="Heading4"/>
      </w:pPr>
      <w:r>
        <w:t xml:space="preserve">2.3.1 Resumo Executivo</w:t>
      </w:r>
    </w:p>
    <w:p>
      <w:pPr>
        <w:pStyle w:val="FirstParagraph"/>
      </w:pPr>
      <w:r>
        <w:t xml:space="preserve">Retrabalho de até 12% do tempo analítico por falta de periodicidade e pipelines ETL. Implementar ingestão diária, Data Governance Framework e validações automáticas para garantir dados confiáveis em &lt;24h e restabelecer confiança de investidores.</w:t>
      </w:r>
    </w:p>
    <w:bookmarkEnd w:id="35"/>
    <w:bookmarkStart w:id="36" w:name="análise-detalhada"/>
    <w:p>
      <w:pPr>
        <w:pStyle w:val="Heading4"/>
      </w:pPr>
      <w:r>
        <w:t xml:space="preserve">2.3.2 Análise Detalhada</w:t>
      </w:r>
    </w:p>
    <w:p>
      <w:pPr>
        <w:pStyle w:val="FirstParagraph"/>
      </w:pPr>
      <w:r>
        <w:rPr>
          <w:bCs/>
          <w:b/>
        </w:rPr>
        <w:t xml:space="preserve">Contexto</w:t>
      </w:r>
      <w:r>
        <w:br/>
      </w:r>
      <w:r>
        <w:t xml:space="preserve">- Decisões em tempo real exigem dados padronizados.</w:t>
      </w:r>
      <w:r>
        <w:br/>
      </w:r>
      <w:r>
        <w:t xml:space="preserve">- Inconsistências elevam custo de capital e travam análises avançadas.</w:t>
      </w:r>
    </w:p>
    <w:p>
      <w:pPr>
        <w:pStyle w:val="BodyText"/>
      </w:pPr>
      <w:r>
        <w:rPr>
          <w:bCs/>
          <w:b/>
        </w:rPr>
        <w:t xml:space="preserve">Principais Achados</w:t>
      </w:r>
      <w:r>
        <w:br/>
      </w:r>
      <w:r>
        <w:t xml:space="preserve">- Ausência de padrão de ingestão e lacunas nos registros.</w:t>
      </w:r>
      <w:r>
        <w:br/>
      </w:r>
      <w:r>
        <w:t xml:space="preserve">- Retrabalho manual e insegurança na qualidade.</w:t>
      </w:r>
    </w:p>
    <w:bookmarkEnd w:id="36"/>
    <w:bookmarkStart w:id="37" w:name="inteligência-estratégica-1"/>
    <w:p>
      <w:pPr>
        <w:pStyle w:val="Heading4"/>
      </w:pPr>
      <w:r>
        <w:t xml:space="preserve">2.3.3 Inteligência Estratégica</w:t>
      </w:r>
    </w:p>
    <w:p>
      <w:pPr>
        <w:pStyle w:val="FirstParagraph"/>
      </w:pPr>
      <w:r>
        <w:rPr>
          <w:bCs/>
          <w:b/>
        </w:rPr>
        <w:t xml:space="preserve">Implicações</w:t>
      </w:r>
      <w:r>
        <w:br/>
      </w:r>
      <w:r>
        <w:t xml:space="preserve">- Atrasos ampliam</w:t>
      </w:r>
      <w:r>
        <w:t xml:space="preserve"> </w:t>
      </w:r>
      <w:r>
        <w:t xml:space="preserve">“</w:t>
      </w:r>
      <w:r>
        <w:t xml:space="preserve">vale</w:t>
      </w:r>
      <w:r>
        <w:t xml:space="preserve">”</w:t>
      </w:r>
      <w:r>
        <w:t xml:space="preserve"> </w:t>
      </w:r>
      <w:r>
        <w:t xml:space="preserve">entre picos.</w:t>
      </w:r>
      <w:r>
        <w:br/>
      </w:r>
      <w:r>
        <w:t xml:space="preserve">- Correções manuais geram erros e penalidades.</w:t>
      </w:r>
    </w:p>
    <w:p>
      <w:pPr>
        <w:pStyle w:val="BodyText"/>
      </w:pPr>
      <w:r>
        <w:rPr>
          <w:bCs/>
          <w:b/>
        </w:rPr>
        <w:t xml:space="preserve">Oportunidades</w:t>
      </w:r>
      <w:r>
        <w:br/>
      </w:r>
      <w:r>
        <w:t xml:space="preserve">- Ingestão Diária &amp; Self-Service (&lt;24h)</w:t>
      </w:r>
      <w:r>
        <w:br/>
      </w:r>
      <w:r>
        <w:t xml:space="preserve">- Data-as-a-Service (1% faturamento)</w:t>
      </w:r>
      <w:r>
        <w:br/>
      </w:r>
      <w:r>
        <w:t xml:space="preserve">- Anomaly Detection em ETL</w:t>
      </w:r>
    </w:p>
    <w:p>
      <w:pPr>
        <w:pStyle w:val="BodyText"/>
      </w:pPr>
      <w:r>
        <w:rPr>
          <w:bCs/>
          <w:b/>
        </w:rPr>
        <w:t xml:space="preserve">Riscos</w:t>
      </w:r>
      <w:r>
        <w:br/>
      </w:r>
      <w:r>
        <w:t xml:space="preserve">- Multas regulatórias (LGPD/GDPR)</w:t>
      </w:r>
      <w:r>
        <w:br/>
      </w:r>
      <w:r>
        <w:t xml:space="preserve">- Perda de vantagem competitiva</w:t>
      </w:r>
      <w:r>
        <w:br/>
      </w:r>
      <w:r>
        <w:t xml:space="preserve">- Resistência à mudança</w:t>
      </w:r>
    </w:p>
    <w:bookmarkEnd w:id="37"/>
    <w:bookmarkStart w:id="38" w:name="recomendações-1"/>
    <w:p>
      <w:pPr>
        <w:pStyle w:val="Heading4"/>
      </w:pPr>
      <w:r>
        <w:t xml:space="preserve">2.3.4 Recomendações</w:t>
      </w:r>
    </w:p>
    <w:p>
      <w:pPr>
        <w:numPr>
          <w:ilvl w:val="0"/>
          <w:numId w:val="1008"/>
        </w:numPr>
        <w:pStyle w:val="Compact"/>
      </w:pPr>
      <w:r>
        <w:t xml:space="preserve">Padrão de Ingestão e ETL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Data Governance &amp; Catálogo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Validações Automáticas de Qualidade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Capacitação e Change Management</w:t>
      </w:r>
    </w:p>
    <w:bookmarkEnd w:id="38"/>
    <w:bookmarkStart w:id="39" w:name="conclusão-2"/>
    <w:p>
      <w:pPr>
        <w:pStyle w:val="Heading4"/>
      </w:pPr>
      <w:r>
        <w:t xml:space="preserve">2.3.5 Conclusão</w:t>
      </w:r>
    </w:p>
    <w:p>
      <w:pPr>
        <w:pStyle w:val="FirstParagraph"/>
      </w:pPr>
      <w:r>
        <w:t xml:space="preserve">ETL automatizado e Data Governance são imperativos para confiança, decisões ágeis e forecast avançado. Aja agora.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6" w:name="X18ab57616c964196d649bdaff0ee6d1fdae7fb5"/>
    <w:p>
      <w:pPr>
        <w:pStyle w:val="Heading3"/>
      </w:pPr>
      <w:r>
        <w:t xml:space="preserve">2.4. Implementação Integrada: Orçamento Dinâmico, Reservas &amp; Hedge Financeiro e Forecast em Tempo Real</w:t>
      </w:r>
    </w:p>
    <w:p>
      <w:pPr>
        <w:pStyle w:val="FirstParagraph"/>
      </w:pPr>
    </w:p>
    <w:bookmarkStart w:id="41" w:name="resumo-executivo-4"/>
    <w:p>
      <w:pPr>
        <w:pStyle w:val="Heading4"/>
      </w:pPr>
      <w:r>
        <w:t xml:space="preserve">2.4.1 Resumo Executivo</w:t>
      </w:r>
    </w:p>
    <w:p>
      <w:pPr>
        <w:pStyle w:val="FirstParagraph"/>
      </w:pPr>
      <w:r>
        <w:t xml:space="preserve">A coordenação de orçamento dinâmico, buffers de contingência com hedge e forecast em tempo real é essencial para elevar picos em +15%, reduzir volatilidade em 20% e antecipar choques. Formar</w:t>
      </w:r>
      <w:r>
        <w:t xml:space="preserve"> </w:t>
      </w:r>
      <w:r>
        <w:t xml:space="preserve">“</w:t>
      </w:r>
      <w:r>
        <w:t xml:space="preserve">Squad Financeiro Ágil</w:t>
      </w:r>
      <w:r>
        <w:t xml:space="preserve">”</w:t>
      </w:r>
      <w:r>
        <w:t xml:space="preserve"> </w:t>
      </w:r>
      <w:r>
        <w:t xml:space="preserve">para pilotar em 60 dias.</w:t>
      </w:r>
    </w:p>
    <w:bookmarkEnd w:id="41"/>
    <w:bookmarkStart w:id="42" w:name="análise-detalhada-1"/>
    <w:p>
      <w:pPr>
        <w:pStyle w:val="Heading4"/>
      </w:pPr>
      <w:r>
        <w:t xml:space="preserve">2.4.2 Análise Detalhada</w:t>
      </w:r>
    </w:p>
    <w:p>
      <w:pPr>
        <w:pStyle w:val="FirstParagraph"/>
      </w:pPr>
      <w:r>
        <w:rPr>
          <w:bCs/>
          <w:b/>
        </w:rPr>
        <w:t xml:space="preserve">Contexto</w:t>
      </w:r>
      <w:r>
        <w:br/>
      </w:r>
      <w:r>
        <w:t xml:space="preserve">- Ciclo 0→2400→0 consome capital e eleva custo.</w:t>
      </w:r>
      <w:r>
        <w:br/>
      </w:r>
      <w:r>
        <w:t xml:space="preserve">- Realocação manual retarda reação.</w:t>
      </w:r>
      <w:r>
        <w:br/>
      </w:r>
      <w:r>
        <w:t xml:space="preserve">- Investidores exigem previsibilidade.</w:t>
      </w:r>
    </w:p>
    <w:p>
      <w:pPr>
        <w:pStyle w:val="BodyText"/>
      </w:pPr>
      <w:r>
        <w:rPr>
          <w:bCs/>
          <w:b/>
        </w:rPr>
        <w:t xml:space="preserve">Principais Achados</w:t>
      </w:r>
      <w:r>
        <w:br/>
      </w:r>
      <w:r>
        <w:t xml:space="preserve">- Quedas sem buffers; recuperação moderada.</w:t>
      </w:r>
      <w:r>
        <w:br/>
      </w:r>
      <w:r>
        <w:t xml:space="preserve">- Falta de gatilhos financeiros.</w:t>
      </w:r>
    </w:p>
    <w:bookmarkEnd w:id="42"/>
    <w:bookmarkStart w:id="43" w:name="inteligência-estratégica-2"/>
    <w:p>
      <w:pPr>
        <w:pStyle w:val="Heading4"/>
      </w:pPr>
      <w:r>
        <w:t xml:space="preserve">2.4.3 Inteligência Estratégica</w:t>
      </w:r>
    </w:p>
    <w:p>
      <w:pPr>
        <w:pStyle w:val="FirstParagraph"/>
      </w:pPr>
      <w:r>
        <w:rPr>
          <w:bCs/>
          <w:b/>
        </w:rPr>
        <w:t xml:space="preserve">Implicações</w:t>
      </w:r>
      <w:r>
        <w:br/>
      </w:r>
      <w:r>
        <w:t xml:space="preserve">- Alavancagem operacional amplifica riscos.</w:t>
      </w:r>
      <w:r>
        <w:br/>
      </w:r>
      <w:r>
        <w:t xml:space="preserve">- Ausência de hedge expõe margens.</w:t>
      </w:r>
    </w:p>
    <w:p>
      <w:pPr>
        <w:pStyle w:val="BodyText"/>
      </w:pPr>
      <w:r>
        <w:rPr>
          <w:bCs/>
          <w:b/>
        </w:rPr>
        <w:t xml:space="preserve">Oportunidades</w:t>
      </w:r>
      <w:r>
        <w:br/>
      </w:r>
      <w:r>
        <w:t xml:space="preserve">- Dynamic Budgeting Avançado</w:t>
      </w:r>
      <w:r>
        <w:br/>
      </w:r>
      <w:r>
        <w:t xml:space="preserve">- Forecast SaaS (5% faturamento)</w:t>
      </w:r>
      <w:r>
        <w:br/>
      </w:r>
      <w:r>
        <w:t xml:space="preserve">- Monte Carlo Financeiro</w:t>
      </w:r>
    </w:p>
    <w:p>
      <w:pPr>
        <w:pStyle w:val="BodyText"/>
      </w:pPr>
      <w:r>
        <w:rPr>
          <w:bCs/>
          <w:b/>
        </w:rPr>
        <w:t xml:space="preserve">Riscos</w:t>
      </w:r>
      <w:r>
        <w:br/>
      </w:r>
      <w:r>
        <w:t xml:space="preserve">- Integração tecnológica atrasada</w:t>
      </w:r>
      <w:r>
        <w:br/>
      </w:r>
      <w:r>
        <w:t xml:space="preserve">- Buffers excessivos imobilizam capital</w:t>
      </w:r>
      <w:r>
        <w:br/>
      </w:r>
      <w:r>
        <w:t xml:space="preserve">- Gatilhos mal calibrados reduzem margens</w:t>
      </w:r>
    </w:p>
    <w:bookmarkEnd w:id="43"/>
    <w:bookmarkStart w:id="44" w:name="recomendações-2"/>
    <w:p>
      <w:pPr>
        <w:pStyle w:val="Heading4"/>
      </w:pPr>
      <w:r>
        <w:t xml:space="preserve">2.4.4 Recomendações</w:t>
      </w:r>
    </w:p>
    <w:p>
      <w:pPr>
        <w:numPr>
          <w:ilvl w:val="0"/>
          <w:numId w:val="1009"/>
        </w:numPr>
        <w:pStyle w:val="Compact"/>
      </w:pPr>
      <w:r>
        <w:t xml:space="preserve">Orçamento Dinâmico com Gatilhos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Buffers &amp; Hedge Financeiro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Plataforma de Forecast em Tempo Real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Data Governance &amp; Simulações</w:t>
      </w:r>
    </w:p>
    <w:bookmarkEnd w:id="44"/>
    <w:bookmarkStart w:id="45" w:name="conclusão-3"/>
    <w:p>
      <w:pPr>
        <w:pStyle w:val="Heading4"/>
      </w:pPr>
      <w:r>
        <w:t xml:space="preserve">2.4.5 Conclusão</w:t>
      </w:r>
    </w:p>
    <w:p>
      <w:pPr>
        <w:pStyle w:val="FirstParagraph"/>
      </w:pPr>
      <w:r>
        <w:t xml:space="preserve">Squad Ágil em 30–60 dias permite +15% pico, −20% volatilidade e forecast proativo. Aja agora.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2" w:name="Xc6d1d7cd1b02f867fdffc7763c088dde76b53f7"/>
    <w:p>
      <w:pPr>
        <w:pStyle w:val="Heading3"/>
      </w:pPr>
      <w:r>
        <w:t xml:space="preserve">2.5. Roadmap Integrado – Orçamento Dinâmico, Data Governance Automático e Reservas de Contingência</w:t>
      </w:r>
    </w:p>
    <w:p>
      <w:pPr>
        <w:pStyle w:val="FirstParagraph"/>
      </w:pPr>
    </w:p>
    <w:bookmarkStart w:id="47" w:name="resumo-executivo-5"/>
    <w:p>
      <w:pPr>
        <w:pStyle w:val="Heading4"/>
      </w:pPr>
      <w:r>
        <w:t xml:space="preserve">2.5.1 Resumo Executivo</w:t>
      </w:r>
    </w:p>
    <w:p>
      <w:pPr>
        <w:pStyle w:val="FirstParagraph"/>
      </w:pPr>
      <w:r>
        <w:t xml:space="preserve">Pilotos de Orçamento Dinâmico, Data Governance e Reservas de Contingência em 15–60 dias podem gerar +25% pico, −25% rupturas e −40% variações sazonais. Formar força-tarefa multidepartamental em 15 dias.</w:t>
      </w:r>
    </w:p>
    <w:bookmarkEnd w:id="47"/>
    <w:bookmarkStart w:id="48" w:name="análise-detalhada-2"/>
    <w:p>
      <w:pPr>
        <w:pStyle w:val="Heading4"/>
      </w:pPr>
      <w:r>
        <w:t xml:space="preserve">2.5.2 Análise Detalhada</w:t>
      </w:r>
    </w:p>
    <w:p>
      <w:pPr>
        <w:pStyle w:val="FirstParagraph"/>
      </w:pPr>
      <w:r>
        <w:rPr>
          <w:bCs/>
          <w:b/>
        </w:rPr>
        <w:t xml:space="preserve">Contexto</w:t>
      </w:r>
      <w:r>
        <w:br/>
      </w:r>
      <w:r>
        <w:t xml:space="preserve">- Ganhos rápidos seguidos de queda a zero.</w:t>
      </w:r>
      <w:r>
        <w:br/>
      </w:r>
      <w:r>
        <w:t xml:space="preserve">- Governança e buffers ausentes.</w:t>
      </w:r>
    </w:p>
    <w:p>
      <w:pPr>
        <w:pStyle w:val="BodyText"/>
      </w:pPr>
      <w:r>
        <w:rPr>
          <w:bCs/>
          <w:b/>
        </w:rPr>
        <w:t xml:space="preserve">Principais Achados</w:t>
      </w:r>
      <w:r>
        <w:br/>
      </w:r>
      <w:r>
        <w:t xml:space="preserve">- Crescimento 0→2400; queda a 0; recuperação a 900.</w:t>
      </w:r>
      <w:r>
        <w:br/>
      </w:r>
      <w:r>
        <w:t xml:space="preserve">- Retrabalho de 3 dias por reporting.</w:t>
      </w:r>
    </w:p>
    <w:bookmarkEnd w:id="48"/>
    <w:bookmarkStart w:id="49" w:name="inteligência-estratégica-3"/>
    <w:p>
      <w:pPr>
        <w:pStyle w:val="Heading4"/>
      </w:pPr>
      <w:r>
        <w:t xml:space="preserve">2.5.3 Inteligência Estratégica</w:t>
      </w:r>
    </w:p>
    <w:p>
      <w:pPr>
        <w:pStyle w:val="FirstParagraph"/>
      </w:pPr>
      <w:r>
        <w:rPr>
          <w:bCs/>
          <w:b/>
        </w:rPr>
        <w:t xml:space="preserve">Implicações</w:t>
      </w:r>
      <w:r>
        <w:br/>
      </w:r>
      <w:r>
        <w:t xml:space="preserve">- Orçamento estático e governança frágil.</w:t>
      </w:r>
      <w:r>
        <w:br/>
      </w:r>
      <w:r>
        <w:t xml:space="preserve">- Ausência de reservas e hedge.</w:t>
      </w:r>
    </w:p>
    <w:p>
      <w:pPr>
        <w:pStyle w:val="BodyText"/>
      </w:pPr>
      <w:r>
        <w:rPr>
          <w:bCs/>
          <w:b/>
        </w:rPr>
        <w:t xml:space="preserve">Oportunidades</w:t>
      </w:r>
      <w:r>
        <w:br/>
      </w:r>
      <w:r>
        <w:t xml:space="preserve">- Data-as-a-Service (~$200K/ano)</w:t>
      </w:r>
      <w:r>
        <w:br/>
      </w:r>
      <w:r>
        <w:t xml:space="preserve">- Dynamic Marketing Allocation (+12–15%)</w:t>
      </w:r>
      <w:r>
        <w:br/>
      </w:r>
      <w:r>
        <w:t xml:space="preserve">- Off-Season Modular (−40% queda)</w:t>
      </w:r>
      <w:r>
        <w:br/>
      </w:r>
      <w:r>
        <w:t xml:space="preserve">- Demand Planning Colaborativo (−25% rupturas)</w:t>
      </w:r>
    </w:p>
    <w:p>
      <w:pPr>
        <w:pStyle w:val="BodyText"/>
      </w:pPr>
      <w:r>
        <w:rPr>
          <w:bCs/>
          <w:b/>
        </w:rPr>
        <w:t xml:space="preserve">Riscos</w:t>
      </w:r>
      <w:r>
        <w:br/>
      </w:r>
      <w:r>
        <w:t xml:space="preserve">- Integração complexa (15% CAPEX)</w:t>
      </w:r>
      <w:r>
        <w:br/>
      </w:r>
      <w:r>
        <w:t xml:space="preserve">- Governance Overkill</w:t>
      </w:r>
      <w:r>
        <w:br/>
      </w:r>
      <w:r>
        <w:t xml:space="preserve">- Reação competitiva em 6–9 meses</w:t>
      </w:r>
      <w:r>
        <w:br/>
      </w:r>
      <w:r>
        <w:t xml:space="preserve">- Canibalização sem segmentação</w:t>
      </w:r>
    </w:p>
    <w:bookmarkEnd w:id="49"/>
    <w:bookmarkStart w:id="50" w:name="recomendações-3"/>
    <w:p>
      <w:pPr>
        <w:pStyle w:val="Heading4"/>
      </w:pPr>
      <w:r>
        <w:t xml:space="preserve">2.5.4 Recomendações</w:t>
      </w:r>
    </w:p>
    <w:p>
      <w:pPr>
        <w:numPr>
          <w:ilvl w:val="0"/>
          <w:numId w:val="1010"/>
        </w:numPr>
        <w:pStyle w:val="Compact"/>
      </w:pPr>
      <w:r>
        <w:t xml:space="preserve">Formar Força-Tarefa em 15 dias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Data Governance &amp; Dashboard em 30 dias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Orçamento Dinâmico em 45 dias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MVP Off-Season em 45 dias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Pilotos Logísticos em 60 dias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Reservas, Hedge &amp; Forecast em 60 dias</w:t>
      </w:r>
    </w:p>
    <w:bookmarkEnd w:id="50"/>
    <w:bookmarkStart w:id="51" w:name="conclusão-4"/>
    <w:p>
      <w:pPr>
        <w:pStyle w:val="Heading4"/>
      </w:pPr>
      <w:r>
        <w:t xml:space="preserve">2.5.5 Conclusão</w:t>
      </w:r>
    </w:p>
    <w:p>
      <w:pPr>
        <w:pStyle w:val="FirstParagraph"/>
      </w:pPr>
      <w:r>
        <w:t xml:space="preserve">Roadmap de 60 dias converte sazonais em crescimento (+25% pico; −40% quedas; −25% rupturas). Aja agora.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8" w:name="avaliação-da-cobertura-temática"/>
    <w:p>
      <w:pPr>
        <w:pStyle w:val="Heading3"/>
      </w:pPr>
      <w:r>
        <w:t xml:space="preserve">2.6. Avaliação da Cobertura Temática</w:t>
      </w:r>
    </w:p>
    <w:p>
      <w:pPr>
        <w:pStyle w:val="FirstParagraph"/>
      </w:pPr>
    </w:p>
    <w:bookmarkStart w:id="53" w:name="resumo-executivo-6"/>
    <w:p>
      <w:pPr>
        <w:pStyle w:val="Heading4"/>
      </w:pPr>
      <w:r>
        <w:t xml:space="preserve">2.6.1 Resumo Executivo</w:t>
      </w:r>
    </w:p>
    <w:p>
      <w:pPr>
        <w:pStyle w:val="FirstParagraph"/>
      </w:pPr>
      <w:r>
        <w:t xml:space="preserve">O relatório apresenta cinco pilares, mas carece de profundidade e JSON padronizado. Unificar conteúdos, preencher lacunas e automatizar governança até 30 dias para análises completas e integráveis.</w:t>
      </w:r>
    </w:p>
    <w:bookmarkEnd w:id="53"/>
    <w:bookmarkStart w:id="54" w:name="análise-detalhada-3"/>
    <w:p>
      <w:pPr>
        <w:pStyle w:val="Heading4"/>
      </w:pPr>
      <w:r>
        <w:t xml:space="preserve">2.6.2 Análise Detalhada</w:t>
      </w:r>
    </w:p>
    <w:p>
      <w:pPr>
        <w:pStyle w:val="FirstParagraph"/>
      </w:pPr>
      <w:r>
        <w:rPr>
          <w:bCs/>
          <w:b/>
        </w:rPr>
        <w:t xml:space="preserve">Contexto</w:t>
      </w:r>
      <w:r>
        <w:br/>
      </w:r>
      <w:r>
        <w:t xml:space="preserve">- Consistência define velocidade de decisão.</w:t>
      </w:r>
      <w:r>
        <w:br/>
      </w:r>
      <w:r>
        <w:t xml:space="preserve">- Inconsistências atrasam entregas em 60 dias.</w:t>
      </w:r>
    </w:p>
    <w:p>
      <w:pPr>
        <w:pStyle w:val="BodyText"/>
      </w:pPr>
      <w:r>
        <w:rPr>
          <w:bCs/>
          <w:b/>
        </w:rPr>
        <w:t xml:space="preserve">Principais Achados</w:t>
      </w:r>
      <w:r>
        <w:br/>
      </w:r>
      <w:r>
        <w:t xml:space="preserve">- Seções 2.2 e 2.3 parciais.</w:t>
      </w:r>
      <w:r>
        <w:br/>
      </w:r>
      <w:r>
        <w:t xml:space="preserve">- JSON não consumível.</w:t>
      </w:r>
    </w:p>
    <w:bookmarkEnd w:id="54"/>
    <w:bookmarkStart w:id="55" w:name="inteligência-estratégica-4"/>
    <w:p>
      <w:pPr>
        <w:pStyle w:val="Heading4"/>
      </w:pPr>
      <w:r>
        <w:t xml:space="preserve">2.6.3 Inteligência Estratégica</w:t>
      </w:r>
    </w:p>
    <w:p>
      <w:pPr>
        <w:pStyle w:val="FirstParagraph"/>
      </w:pPr>
      <w:r>
        <w:rPr>
          <w:bCs/>
          <w:b/>
        </w:rPr>
        <w:t xml:space="preserve">Implicações</w:t>
      </w:r>
      <w:r>
        <w:br/>
      </w:r>
      <w:r>
        <w:t xml:space="preserve">- Retrabalho onera equipe.</w:t>
      </w:r>
      <w:r>
        <w:br/>
      </w:r>
      <w:r>
        <w:t xml:space="preserve">- Falta de uniformidade eleva risco.</w:t>
      </w:r>
    </w:p>
    <w:p>
      <w:pPr>
        <w:pStyle w:val="BodyText"/>
      </w:pPr>
      <w:r>
        <w:rPr>
          <w:bCs/>
          <w:b/>
        </w:rPr>
        <w:t xml:space="preserve">Oportunidades</w:t>
      </w:r>
      <w:r>
        <w:br/>
      </w:r>
      <w:r>
        <w:t xml:space="preserve">- Documento único (−50% retrabalho)</w:t>
      </w:r>
      <w:r>
        <w:br/>
      </w:r>
      <w:r>
        <w:t xml:space="preserve">- Schema JSON 5 Pilares (+40% acurácia)</w:t>
      </w:r>
      <w:r>
        <w:br/>
      </w:r>
      <w:r>
        <w:t xml:space="preserve">- Dashboard de Integridade</w:t>
      </w:r>
    </w:p>
    <w:p>
      <w:pPr>
        <w:pStyle w:val="BodyText"/>
      </w:pPr>
      <w:r>
        <w:rPr>
          <w:bCs/>
          <w:b/>
        </w:rPr>
        <w:t xml:space="preserve">Riscos</w:t>
      </w:r>
      <w:r>
        <w:br/>
      </w:r>
      <w:r>
        <w:t xml:space="preserve">- Decisões desalinhadas (US$300K equivocado)</w:t>
      </w:r>
      <w:r>
        <w:br/>
      </w:r>
      <w:r>
        <w:t xml:space="preserve">- Sobrecarga operacional</w:t>
      </w:r>
      <w:r>
        <w:br/>
      </w:r>
      <w:r>
        <w:t xml:space="preserve">- Perda de confiança</w:t>
      </w:r>
    </w:p>
    <w:bookmarkEnd w:id="55"/>
    <w:bookmarkStart w:id="56" w:name="recomendações-4"/>
    <w:p>
      <w:pPr>
        <w:pStyle w:val="Heading4"/>
      </w:pPr>
      <w:r>
        <w:t xml:space="preserve">2.6.4 Recomendações</w:t>
      </w:r>
    </w:p>
    <w:p>
      <w:pPr>
        <w:numPr>
          <w:ilvl w:val="0"/>
          <w:numId w:val="1011"/>
        </w:numPr>
        <w:pStyle w:val="Compact"/>
      </w:pPr>
      <w:r>
        <w:t xml:space="preserve">Unificar Documento em 5 dias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Schema JSON em 7 dias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Preencher Lacunas em 7 dias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Dashboard de Integridade em 10 dias</w:t>
      </w:r>
    </w:p>
    <w:bookmarkEnd w:id="56"/>
    <w:bookmarkStart w:id="57" w:name="conclusão-5"/>
    <w:p>
      <w:pPr>
        <w:pStyle w:val="Heading4"/>
      </w:pPr>
      <w:r>
        <w:t xml:space="preserve">2.6.5 Conclusão</w:t>
      </w:r>
    </w:p>
    <w:p>
      <w:pPr>
        <w:pStyle w:val="FirstParagraph"/>
      </w:pPr>
      <w:r>
        <w:t xml:space="preserve">Governança de conteúdo robusta e integração técnica transformam o relatório em ativo vivo. Aja imediatamente.</w:t>
      </w:r>
    </w:p>
    <w:p>
      <w:r>
        <w:pict>
          <v:rect style="width:0;height:1.5pt" o:hralign="center" o:hrstd="t" o:hr="t"/>
        </w:pict>
      </w:r>
    </w:p>
    <w:bookmarkEnd w:id="57"/>
    <w:bookmarkEnd w:id="58"/>
    <w:bookmarkEnd w:id="59"/>
    <w:bookmarkStart w:id="61" w:name="X266ac278726e22de192c41391e974255efa5c3b"/>
    <w:p>
      <w:pPr>
        <w:pStyle w:val="Heading2"/>
      </w:pPr>
      <w:r>
        <w:t xml:space="preserve">3. Conclusão Estratégica e Imperativo de Ação</w:t>
      </w:r>
    </w:p>
    <w:p>
      <w:pPr>
        <w:pStyle w:val="FirstParagraph"/>
      </w:pPr>
    </w:p>
    <w:bookmarkStart w:id="60" w:name="memorado-estratégico-final"/>
    <w:p>
      <w:pPr>
        <w:pStyle w:val="Heading3"/>
      </w:pPr>
      <w:r>
        <w:t xml:space="preserve">Memorado Estratégico Final</w:t>
      </w:r>
    </w:p>
    <w:p>
      <w:pPr>
        <w:pStyle w:val="FirstParagraph"/>
      </w:pPr>
      <w:r>
        <w:rPr>
          <w:bCs/>
          <w:b/>
        </w:rPr>
        <w:t xml:space="preserve">Assunto:</w:t>
      </w:r>
      <w:r>
        <w:t xml:space="preserve"> </w:t>
      </w:r>
      <w:r>
        <w:t xml:space="preserve">Imperativo de Transformação Financeira e Governança de Dados</w:t>
      </w:r>
    </w:p>
    <w:p>
      <w:pPr>
        <w:pStyle w:val="BodyText"/>
      </w:pPr>
      <w:r>
        <w:rPr>
          <w:bCs/>
          <w:b/>
        </w:rPr>
        <w:t xml:space="preserve">1. Imperativo Estratégico</w:t>
      </w:r>
      <w:r>
        <w:br/>
      </w:r>
      <w:r>
        <w:t xml:space="preserve">Implementar,</w:t>
      </w:r>
      <w:r>
        <w:t xml:space="preserve"> </w:t>
      </w:r>
      <w:r>
        <w:rPr>
          <w:bCs/>
          <w:b/>
        </w:rPr>
        <w:t xml:space="preserve">imediatamente</w:t>
      </w:r>
      <w:r>
        <w:t xml:space="preserve">, um modelo integrado de:</w:t>
      </w:r>
      <w:r>
        <w:br/>
      </w:r>
      <w:r>
        <w:t xml:space="preserve">- Orçamentação dinâmica</w:t>
      </w:r>
      <w:r>
        <w:br/>
      </w:r>
      <w:r>
        <w:t xml:space="preserve">- Governança de dados automatizada</w:t>
      </w:r>
      <w:r>
        <w:br/>
      </w:r>
      <w:r>
        <w:t xml:space="preserve">- Reservas financeiras com hedge e forecast em tempo real</w:t>
      </w:r>
      <w:r>
        <w:br/>
      </w:r>
      <w:r>
        <w:t xml:space="preserve">Sob governança de squad multidisciplinar, com entregas mensuráveis em até 60 dias.</w:t>
      </w:r>
    </w:p>
    <w:p>
      <w:pPr>
        <w:pStyle w:val="BodyText"/>
      </w:pPr>
      <w:r>
        <w:rPr>
          <w:bCs/>
          <w:b/>
        </w:rPr>
        <w:t xml:space="preserve">2. Narrativa Unificada</w:t>
      </w:r>
      <w:r>
        <w:br/>
      </w:r>
      <w:r>
        <w:t xml:space="preserve">- Orçamento Dinâmico &amp; Governança: ETL &lt;24h e realocação diária.</w:t>
      </w:r>
      <w:r>
        <w:br/>
      </w:r>
      <w:r>
        <w:t xml:space="preserve">- Reservas &amp; Hedge: Buffers de 5–10% EBITDA e contratos cambiais acionados por forecast.</w:t>
      </w:r>
      <w:r>
        <w:br/>
      </w:r>
      <w:r>
        <w:t xml:space="preserve">- Off-Season &amp; Data-as-a-Service: MVP sazonais e engine de dados monetizável.</w:t>
      </w:r>
      <w:r>
        <w:br/>
      </w:r>
      <w:r>
        <w:t xml:space="preserve">- Integração Técnica &amp; Transparência: Schema JSON e dashboards de integridade.</w:t>
      </w:r>
    </w:p>
    <w:p>
      <w:pPr>
        <w:pStyle w:val="BodyText"/>
      </w:pPr>
      <w:r>
        <w:rPr>
          <w:bCs/>
          <w:b/>
        </w:rPr>
        <w:t xml:space="preserve">3. Plano de Ação</w:t>
      </w:r>
      <w:r>
        <w:br/>
      </w:r>
      <w:r>
        <w:t xml:space="preserve">- D+7: Squad, sponsors e KPIs</w:t>
      </w:r>
      <w:r>
        <w:br/>
      </w:r>
      <w:r>
        <w:t xml:space="preserve">- D+30: Data Governance, ETL, dashboards, schema JSON</w:t>
      </w:r>
      <w:r>
        <w:br/>
      </w:r>
      <w:r>
        <w:t xml:space="preserve">- D+45: Dynamic Budgeting e reservas</w:t>
      </w:r>
      <w:r>
        <w:br/>
      </w:r>
      <w:r>
        <w:t xml:space="preserve">- D+60: MVP Off-Season, Data-as-a-Service, forecast e dashboards</w:t>
      </w:r>
    </w:p>
    <w:p>
      <w:pPr>
        <w:pStyle w:val="BodyText"/>
      </w:pPr>
      <w:r>
        <w:rPr>
          <w:bCs/>
          <w:b/>
        </w:rPr>
        <w:t xml:space="preserve">4. Visão de Futuro</w:t>
      </w:r>
      <w:r>
        <w:br/>
      </w:r>
      <w:r>
        <w:t xml:space="preserve">Em 18 meses, picos de lucro +25%, quedas −40%, liderança financeira e dados. A inação compromete competitividade. Aja agora.</w:t>
      </w:r>
    </w:p>
    <w:p>
      <w:r>
        <w:pict>
          <v:rect style="width:0;height:1.5pt" o:hralign="center" o:hrstd="t" o:hr="t"/>
        </w:pic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2025-07-25T21:23:10Z</dcterms:created>
  <dcterms:modified xsi:type="dcterms:W3CDTF">2025-07-25T21:23:10Z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