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A25A6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B1C87" w:rsidRPr="001B3A32" w:rsidRDefault="00EB1C87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B1C87" w:rsidRPr="001B3A32" w:rsidRDefault="00EB1C87">
      <w:pPr>
        <w:spacing w:after="0" w:line="240" w:lineRule="auto"/>
      </w:pPr>
      <w:r w:rsidRPr="001B3A32"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CC1F8A">
            <w:fldChar w:fldCharType="begin"/>
          </w:r>
          <w:r w:rsidR="00F47948">
            <w:instrText xml:space="preserve"> TOC \o "1-3" \h \z \u </w:instrText>
          </w:r>
          <w:r w:rsidRPr="00CC1F8A">
            <w:fldChar w:fldCharType="separate"/>
          </w:r>
          <w:hyperlink w:anchor="_Toc272537112" w:history="1">
            <w:r w:rsidR="009C7438" w:rsidRPr="00B14281">
              <w:rPr>
                <w:rStyle w:val="Hyperlink"/>
                <w:noProof/>
              </w:rPr>
              <w:t>1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Introdução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13" w:history="1">
            <w:r w:rsidR="009C7438" w:rsidRPr="00B14281">
              <w:rPr>
                <w:rStyle w:val="Hyperlink"/>
                <w:noProof/>
              </w:rPr>
              <w:t>2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Enquadramento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4" w:history="1">
            <w:r w:rsidR="009C7438" w:rsidRPr="00B14281">
              <w:rPr>
                <w:rStyle w:val="Hyperlink"/>
                <w:noProof/>
              </w:rPr>
              <w:t>2.1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Âmbito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5" w:history="1">
            <w:r w:rsidR="009C7438" w:rsidRPr="00B14281">
              <w:rPr>
                <w:rStyle w:val="Hyperlink"/>
                <w:noProof/>
              </w:rPr>
              <w:t>2.2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Objectivos Gerais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6" w:history="1">
            <w:r w:rsidR="009C7438" w:rsidRPr="00B14281">
              <w:rPr>
                <w:rStyle w:val="Hyperlink"/>
                <w:noProof/>
              </w:rPr>
              <w:t>2.3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Exemplo de Utilização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7" w:history="1">
            <w:r w:rsidR="009C7438" w:rsidRPr="00B14281">
              <w:rPr>
                <w:rStyle w:val="Hyperlink"/>
                <w:noProof/>
              </w:rPr>
              <w:t>2.4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Enunciado do Problema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8" w:history="1">
            <w:r w:rsidR="009C7438" w:rsidRPr="00B14281">
              <w:rPr>
                <w:rStyle w:val="Hyperlink"/>
                <w:noProof/>
              </w:rPr>
              <w:t>2.4.1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Entidade Associação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9" w:history="1">
            <w:r w:rsidR="009C7438" w:rsidRPr="00B14281">
              <w:rPr>
                <w:rStyle w:val="Hyperlink"/>
                <w:noProof/>
              </w:rPr>
              <w:t>2.4.2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Definição dos tipos de domínio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0" w:history="1">
            <w:r w:rsidR="009C7438" w:rsidRPr="00B14281">
              <w:rPr>
                <w:rStyle w:val="Hyperlink"/>
                <w:noProof/>
              </w:rPr>
              <w:t>2.4.3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Caracterização das entidades envolvidas e relações de herança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1" w:history="1">
            <w:r w:rsidR="009C7438" w:rsidRPr="00B14281">
              <w:rPr>
                <w:rStyle w:val="Hyperlink"/>
                <w:noProof/>
              </w:rPr>
              <w:t>2.4.4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Representação de associações entre entidades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2" w:history="1">
            <w:r w:rsidR="009C7438" w:rsidRPr="00B14281">
              <w:rPr>
                <w:rStyle w:val="Hyperlink"/>
                <w:noProof/>
              </w:rPr>
              <w:t>2.4.5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3" w:history="1">
            <w:r w:rsidR="009C7438" w:rsidRPr="00B14281">
              <w:rPr>
                <w:rStyle w:val="Hyperlink"/>
                <w:noProof/>
              </w:rPr>
              <w:t>2.4.6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Definições de ambiente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4" w:history="1">
            <w:r w:rsidR="009C7438" w:rsidRPr="00B14281">
              <w:rPr>
                <w:rStyle w:val="Hyperlink"/>
                <w:noProof/>
              </w:rPr>
              <w:t>2.4.7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5" w:history="1">
            <w:r w:rsidR="009C7438" w:rsidRPr="00B14281">
              <w:rPr>
                <w:rStyle w:val="Hyperlink"/>
                <w:noProof/>
              </w:rPr>
              <w:t>2.4.8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da solução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6" w:history="1">
            <w:r w:rsidR="009C7438" w:rsidRPr="00B14281">
              <w:rPr>
                <w:rStyle w:val="Hyperlink"/>
                <w:noProof/>
              </w:rPr>
              <w:t>3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Arquitectura da Solução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7" w:history="1">
            <w:r w:rsidR="009C7438" w:rsidRPr="00B14281">
              <w:rPr>
                <w:rStyle w:val="Hyperlink"/>
                <w:noProof/>
              </w:rPr>
              <w:t>4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Implementação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28" w:history="1">
            <w:r w:rsidR="009C7438" w:rsidRPr="00B14281">
              <w:rPr>
                <w:rStyle w:val="Hyperlink"/>
                <w:noProof/>
              </w:rPr>
              <w:t>4.1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9" w:history="1">
            <w:r w:rsidR="009C7438" w:rsidRPr="00B14281">
              <w:rPr>
                <w:rStyle w:val="Hyperlink"/>
                <w:noProof/>
              </w:rPr>
              <w:t>4.1.1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Tipos de Domínio – elemento &lt;userTypes&gt;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0" w:history="1">
            <w:r w:rsidR="009C7438" w:rsidRPr="00B14281">
              <w:rPr>
                <w:rStyle w:val="Hyperlink"/>
                <w:noProof/>
              </w:rPr>
              <w:t>4.1.2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Restrições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1" w:history="1">
            <w:r w:rsidR="009C7438" w:rsidRPr="00B14281">
              <w:rPr>
                <w:rStyle w:val="Hyperlink"/>
                <w:noProof/>
              </w:rPr>
              <w:t>4.1.3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– elemento &lt;entities&gt;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2" w:history="1">
            <w:r w:rsidR="009C7438" w:rsidRPr="00B14281">
              <w:rPr>
                <w:rStyle w:val="Hyperlink"/>
                <w:noProof/>
              </w:rPr>
              <w:t>4.1.4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Serviços externos – elemento &lt;environments&gt;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3" w:history="1">
            <w:r w:rsidR="009C7438" w:rsidRPr="00B14281">
              <w:rPr>
                <w:rStyle w:val="Hyperlink"/>
                <w:noProof/>
              </w:rPr>
              <w:t>4.1.5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 – elemento &lt;businessProcesses&gt;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34" w:history="1">
            <w:r w:rsidR="009C7438" w:rsidRPr="00B14281">
              <w:rPr>
                <w:rStyle w:val="Hyperlink"/>
                <w:noProof/>
              </w:rPr>
              <w:t>4.2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Estrutura da Solução EDM no Visual Studio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5" w:history="1">
            <w:r w:rsidR="009C7438" w:rsidRPr="00B14281">
              <w:rPr>
                <w:rStyle w:val="Hyperlink"/>
                <w:noProof/>
              </w:rPr>
              <w:t>4.2.1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Metadados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6" w:history="1">
            <w:r w:rsidR="009C7438" w:rsidRPr="00B14281">
              <w:rPr>
                <w:rStyle w:val="Hyperlink"/>
                <w:noProof/>
              </w:rPr>
              <w:t>4.2.2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Biblioteca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7" w:history="1">
            <w:r w:rsidR="009C7438" w:rsidRPr="00B14281">
              <w:rPr>
                <w:rStyle w:val="Hyperlink"/>
                <w:noProof/>
              </w:rPr>
              <w:t>4.2.3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8" w:history="1">
            <w:r w:rsidR="009C7438" w:rsidRPr="00B14281">
              <w:rPr>
                <w:rStyle w:val="Hyperlink"/>
                <w:noProof/>
              </w:rPr>
              <w:t>4.2.4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Rtti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9" w:history="1">
            <w:r w:rsidR="009C7438" w:rsidRPr="00B14281">
              <w:rPr>
                <w:rStyle w:val="Hyperlink"/>
                <w:noProof/>
              </w:rPr>
              <w:t>4.2.5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Entity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0" w:history="1">
            <w:r w:rsidR="009C7438" w:rsidRPr="00B14281">
              <w:rPr>
                <w:rStyle w:val="Hyperlink"/>
                <w:noProof/>
              </w:rPr>
              <w:t>4.2.6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Services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1" w:history="1">
            <w:r w:rsidR="009C7438" w:rsidRPr="00B14281">
              <w:rPr>
                <w:rStyle w:val="Hyperlink"/>
                <w:noProof/>
              </w:rPr>
              <w:t>4.2.7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Ws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2" w:history="1">
            <w:r w:rsidR="009C7438" w:rsidRPr="00B14281">
              <w:rPr>
                <w:rStyle w:val="Hyperlink"/>
                <w:noProof/>
              </w:rPr>
              <w:t>4.2.8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UnitTest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3" w:history="1">
            <w:r w:rsidR="009C7438" w:rsidRPr="00B14281">
              <w:rPr>
                <w:rStyle w:val="Hyperlink"/>
                <w:i/>
                <w:noProof/>
              </w:rPr>
              <w:t>4.3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Gerador de Código </w:t>
            </w:r>
            <w:r w:rsidR="009C7438" w:rsidRPr="00B14281">
              <w:rPr>
                <w:rStyle w:val="Hyperlink"/>
                <w:i/>
                <w:noProof/>
              </w:rPr>
              <w:t>(EDM.Generator)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4" w:history="1">
            <w:r w:rsidR="009C7438" w:rsidRPr="00B14281">
              <w:rPr>
                <w:rStyle w:val="Hyperlink"/>
                <w:noProof/>
              </w:rPr>
              <w:t>4.3.1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Contexto de Geração (EDM.Generator.Context)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5" w:history="1">
            <w:r w:rsidR="009C7438" w:rsidRPr="00B14281">
              <w:rPr>
                <w:rStyle w:val="Hyperlink"/>
                <w:noProof/>
              </w:rPr>
              <w:t>4.3.2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Motor de Geração (EDM.Generator.Engine)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6" w:history="1">
            <w:r w:rsidR="009C7438" w:rsidRPr="00B14281">
              <w:rPr>
                <w:rStyle w:val="Hyperlink"/>
                <w:noProof/>
              </w:rPr>
              <w:t>4.3.3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Pipeline de Geração (EDM.Generator.Step.GeneratorSteps)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7" w:history="1">
            <w:r w:rsidR="009C7438" w:rsidRPr="00B14281">
              <w:rPr>
                <w:rStyle w:val="Hyperlink"/>
                <w:noProof/>
              </w:rPr>
              <w:t>4.3.4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‘ThreeDPreExecuteStep’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8" w:history="1">
            <w:r w:rsidR="009C7438" w:rsidRPr="00B14281">
              <w:rPr>
                <w:rStyle w:val="Hyperlink"/>
                <w:noProof/>
              </w:rPr>
              <w:t>4.3.5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9" w:history="1">
            <w:r w:rsidR="009C7438" w:rsidRPr="00B14281">
              <w:rPr>
                <w:rStyle w:val="Hyperlink"/>
                <w:noProof/>
              </w:rPr>
              <w:t>4.4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Infra-estrutura de suporte </w:t>
            </w:r>
            <w:r w:rsidR="009C7438" w:rsidRPr="00B14281">
              <w:rPr>
                <w:rStyle w:val="Hyperlink"/>
                <w:i/>
                <w:noProof/>
              </w:rPr>
              <w:t>(EDM.FoundationClasses)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0" w:history="1">
            <w:r w:rsidR="009C7438" w:rsidRPr="00B14281">
              <w:rPr>
                <w:rStyle w:val="Hyperlink"/>
                <w:noProof/>
              </w:rPr>
              <w:t>4.4.1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de tipos e validação (EDM.FoundationClasses.Validator)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1" w:history="1">
            <w:r w:rsidR="009C7438" w:rsidRPr="00B14281">
              <w:rPr>
                <w:rStyle w:val="Hyperlink"/>
                <w:noProof/>
              </w:rPr>
              <w:t>4.4.2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do domínio (EDM.FoundationClasses.Entity)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2" w:history="1">
            <w:r w:rsidR="009C7438" w:rsidRPr="00B14281">
              <w:rPr>
                <w:rStyle w:val="Hyperlink"/>
                <w:noProof/>
              </w:rPr>
              <w:t>4.4.3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Suporte à Persistência (EDM.FoundationClasses.Persistence)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3" w:history="1">
            <w:r w:rsidR="009C7438" w:rsidRPr="00B14281">
              <w:rPr>
                <w:rStyle w:val="Hyperlink"/>
                <w:noProof/>
              </w:rPr>
              <w:t>4.4.4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Mecanismo de Permissões (EDM.FoundationClasses.Security)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54" w:history="1">
            <w:r w:rsidR="009C7438" w:rsidRPr="00B14281">
              <w:rPr>
                <w:rStyle w:val="Hyperlink"/>
                <w:noProof/>
              </w:rPr>
              <w:t>4.5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Template para Visual Studio </w:t>
            </w:r>
            <w:r w:rsidR="009C7438" w:rsidRPr="00B14281">
              <w:rPr>
                <w:rStyle w:val="Hyperlink"/>
                <w:i/>
                <w:noProof/>
              </w:rPr>
              <w:t>(EDM.Template)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5" w:history="1">
            <w:r w:rsidR="009C7438" w:rsidRPr="00B14281">
              <w:rPr>
                <w:rStyle w:val="Hyperlink"/>
                <w:noProof/>
              </w:rPr>
              <w:t>4.5.1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Instalação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6" w:history="1">
            <w:r w:rsidR="009C7438" w:rsidRPr="00B14281">
              <w:rPr>
                <w:rStyle w:val="Hyperlink"/>
                <w:noProof/>
              </w:rPr>
              <w:t>4.5.2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7" w:history="1">
            <w:r w:rsidR="009C7438" w:rsidRPr="00B14281">
              <w:rPr>
                <w:rStyle w:val="Hyperlink"/>
                <w:noProof/>
              </w:rPr>
              <w:t>4.5.3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Identificação da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8" w:history="1">
            <w:r w:rsidR="009C7438" w:rsidRPr="00B14281">
              <w:rPr>
                <w:rStyle w:val="Hyperlink"/>
                <w:noProof/>
              </w:rPr>
              <w:t>4.5.4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9" w:history="1">
            <w:r w:rsidR="009C7438" w:rsidRPr="00B14281">
              <w:rPr>
                <w:rStyle w:val="Hyperlink"/>
                <w:noProof/>
              </w:rPr>
              <w:t>4.5.5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Geração do modelo físico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0" w:history="1">
            <w:r w:rsidR="009C7438" w:rsidRPr="00B14281">
              <w:rPr>
                <w:rStyle w:val="Hyperlink"/>
                <w:noProof/>
              </w:rPr>
              <w:t>5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Conclusões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1" w:history="1">
            <w:r w:rsidR="009C7438" w:rsidRPr="00B14281">
              <w:rPr>
                <w:rStyle w:val="Hyperlink"/>
                <w:noProof/>
              </w:rPr>
              <w:t>6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Listagens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2" w:history="1">
            <w:r w:rsidR="009C7438" w:rsidRPr="00B14281">
              <w:rPr>
                <w:rStyle w:val="Hyperlink"/>
                <w:noProof/>
              </w:rPr>
              <w:t>7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Tabelas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3" w:history="1">
            <w:r w:rsidR="009C7438" w:rsidRPr="00B14281">
              <w:rPr>
                <w:rStyle w:val="Hyperlink"/>
                <w:noProof/>
              </w:rPr>
              <w:t>8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Figuras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CC1F8A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537112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CC1F8A" w:rsidRPr="00915C3C">
        <w:fldChar w:fldCharType="begin" w:fldLock="1"/>
      </w:r>
      <w:r w:rsidR="00172185" w:rsidRPr="00915C3C">
        <w:instrText xml:space="preserve"> SEQ Figura \* ARABIC </w:instrText>
      </w:r>
      <w:r w:rsidR="00CC1F8A" w:rsidRPr="00915C3C">
        <w:fldChar w:fldCharType="separate"/>
      </w:r>
      <w:r w:rsidR="008D1594" w:rsidRPr="00915C3C">
        <w:t>1</w:t>
      </w:r>
      <w:r w:rsidR="00CC1F8A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537113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537114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537115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537116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537117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537118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537119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2B6DF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2B6DF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2B6DF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CC1F8A">
        <w:fldChar w:fldCharType="begin" w:fldLock="1"/>
      </w:r>
      <w:r>
        <w:instrText xml:space="preserve"> PAGEREF _Ref271717578 \h </w:instrText>
      </w:r>
      <w:r w:rsidR="00CC1F8A">
        <w:fldChar w:fldCharType="separate"/>
      </w:r>
      <w:r>
        <w:rPr>
          <w:noProof/>
        </w:rPr>
        <w:t>19</w:t>
      </w:r>
      <w:r w:rsidR="00CC1F8A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537120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CC1F8A">
        <w:fldChar w:fldCharType="begin" w:fldLock="1"/>
      </w:r>
      <w:r>
        <w:instrText xml:space="preserve"> REF _Ref271785218 \h </w:instrText>
      </w:r>
      <w:r w:rsidR="00CC1F8A">
        <w:fldChar w:fldCharType="separate"/>
      </w:r>
      <w:r>
        <w:t xml:space="preserve">Figura </w:t>
      </w:r>
      <w:r>
        <w:rPr>
          <w:noProof/>
        </w:rPr>
        <w:t>2</w:t>
      </w:r>
      <w:r w:rsidR="00CC1F8A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2B6DF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2B6DF5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2B6DF5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2B6DF5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2B6DF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CC1F8A">
        <w:fldChar w:fldCharType="begin" w:fldLock="1"/>
      </w:r>
      <w:r>
        <w:instrText xml:space="preserve"> REF _Ref271785218 \h </w:instrText>
      </w:r>
      <w:r w:rsidR="00CC1F8A">
        <w:fldChar w:fldCharType="separate"/>
      </w:r>
      <w:r>
        <w:t xml:space="preserve">Figura </w:t>
      </w:r>
      <w:r>
        <w:rPr>
          <w:noProof/>
        </w:rPr>
        <w:t>2</w:t>
      </w:r>
      <w:r w:rsidR="00CC1F8A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537121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537122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537123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CC1F8A">
        <w:fldChar w:fldCharType="begin" w:fldLock="1"/>
      </w:r>
      <w:r>
        <w:instrText xml:space="preserve"> PAGEREF _Ref271787253 \h </w:instrText>
      </w:r>
      <w:r w:rsidR="00CC1F8A">
        <w:fldChar w:fldCharType="separate"/>
      </w:r>
      <w:r>
        <w:rPr>
          <w:noProof/>
        </w:rPr>
        <w:t>24</w:t>
      </w:r>
      <w:r w:rsidR="00CC1F8A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2B6DF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2B6DF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2B6DF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537124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CC1F8A">
        <w:fldChar w:fldCharType="begin"/>
      </w:r>
      <w:r w:rsidR="00527A00">
        <w:instrText xml:space="preserve"> PAGEREF _Ref272362097 \h </w:instrText>
      </w:r>
      <w:r w:rsidR="00CC1F8A">
        <w:fldChar w:fldCharType="separate"/>
      </w:r>
      <w:r w:rsidR="00C36886">
        <w:rPr>
          <w:noProof/>
        </w:rPr>
        <w:t>3</w:t>
      </w:r>
      <w:r w:rsidR="00CC1F8A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537125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CC1F8A">
        <w:fldChar w:fldCharType="begin"/>
      </w:r>
      <w:r w:rsidR="00F206DF">
        <w:instrText xml:space="preserve"> PAGEREF _Ref272413416 \h </w:instrText>
      </w:r>
      <w:r w:rsidR="00CC1F8A">
        <w:fldChar w:fldCharType="separate"/>
      </w:r>
      <w:r w:rsidR="00C36886">
        <w:rPr>
          <w:noProof/>
        </w:rPr>
        <w:t>26</w:t>
      </w:r>
      <w:r w:rsidR="00CC1F8A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537126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CC1F8A">
        <w:fldChar w:fldCharType="begin"/>
      </w:r>
      <w:r w:rsidR="000361CA">
        <w:instrText xml:space="preserve"> PAGEREF _Ref272413416 \h </w:instrText>
      </w:r>
      <w:r w:rsidR="00CC1F8A">
        <w:fldChar w:fldCharType="separate"/>
      </w:r>
      <w:r w:rsidR="00C36886">
        <w:rPr>
          <w:noProof/>
        </w:rPr>
        <w:t>26</w:t>
      </w:r>
      <w:r w:rsidR="00CC1F8A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CC1F8A">
        <w:fldChar w:fldCharType="begin"/>
      </w:r>
      <w:r w:rsidR="00612C50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CC1F8A">
        <w:fldChar w:fldCharType="begin"/>
      </w:r>
      <w:r>
        <w:instrText xml:space="preserve"> PAGEREF _Ref272415308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sendo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Toc272537127"/>
      <w:bookmarkStart w:id="57" w:name="_Ref271804294"/>
      <w:r>
        <w:lastRenderedPageBreak/>
        <w:t>Implementação</w:t>
      </w:r>
      <w:bookmarkEnd w:id="55"/>
      <w:bookmarkEnd w:id="56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537128"/>
      <w:r>
        <w:t>Dicionário de Dados</w:t>
      </w:r>
      <w:bookmarkEnd w:id="57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53712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537130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53713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2B6DF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2B6DF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2B6DF5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2B6DF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2B6DF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2B6DF5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CC1F8A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CC1F8A">
        <w:rPr>
          <w:rFonts w:cs="Courier New"/>
        </w:rPr>
      </w:r>
      <w:r w:rsidR="00CC1F8A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CC1F8A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53713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lastRenderedPageBreak/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536405"/>
      <w:bookmarkStart w:id="84" w:name="_Ref271837610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537133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2B6DF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2B6DF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lastRenderedPageBreak/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537134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CC1F8A">
        <w:fldChar w:fldCharType="begin" w:fldLock="1"/>
      </w:r>
      <w:r>
        <w:instrText xml:space="preserve"> PAGEREF _Ref271804294 \h </w:instrText>
      </w:r>
      <w:r w:rsidR="00CC1F8A">
        <w:fldChar w:fldCharType="separate"/>
      </w:r>
      <w:r w:rsidR="00451FB3">
        <w:rPr>
          <w:noProof/>
        </w:rPr>
        <w:t>18</w:t>
      </w:r>
      <w:r w:rsidR="00CC1F8A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537135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537136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CC1F8A">
        <w:fldChar w:fldCharType="begin"/>
      </w:r>
      <w:r w:rsidR="008E0614">
        <w:instrText xml:space="preserve"> PAGEREF _Ref272414727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537137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CC1F8A">
        <w:fldChar w:fldCharType="begin"/>
      </w:r>
      <w:r w:rsidR="00F206DF">
        <w:instrText xml:space="preserve"> PAGEREF _Ref272450343 \h </w:instrText>
      </w:r>
      <w:r w:rsidR="00CC1F8A">
        <w:fldChar w:fldCharType="separate"/>
      </w:r>
      <w:r w:rsidR="00C36886">
        <w:rPr>
          <w:noProof/>
        </w:rPr>
        <w:t>35</w:t>
      </w:r>
      <w:r w:rsidR="00CC1F8A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537138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CC1F8A">
        <w:fldChar w:fldCharType="begin" w:fldLock="1"/>
      </w:r>
      <w:r w:rsidR="000105B8">
        <w:instrText xml:space="preserve"> PAGEREF _Ref271832945 \h </w:instrText>
      </w:r>
      <w:r w:rsidR="00CC1F8A">
        <w:fldChar w:fldCharType="separate"/>
      </w:r>
      <w:r w:rsidR="00451FB3">
        <w:rPr>
          <w:noProof/>
        </w:rPr>
        <w:t>18</w:t>
      </w:r>
      <w:r w:rsidR="00CC1F8A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CC1F8A">
        <w:fldChar w:fldCharType="begin"/>
      </w:r>
      <w:r w:rsidR="00F206DF">
        <w:instrText xml:space="preserve"> PAGEREF _Ref272450357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537139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CC1F8A">
        <w:fldChar w:fldCharType="begin"/>
      </w:r>
      <w:r w:rsidR="00AD6216"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537140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CC1F8A">
        <w:fldChar w:fldCharType="begin"/>
      </w:r>
      <w:r w:rsidR="00FE141C">
        <w:instrText xml:space="preserve"> PAGEREF _Ref271837610 \h </w:instrText>
      </w:r>
      <w:r w:rsidR="00CC1F8A">
        <w:fldChar w:fldCharType="separate"/>
      </w:r>
      <w:r w:rsidR="00C36886">
        <w:rPr>
          <w:noProof/>
        </w:rPr>
        <w:t>18</w:t>
      </w:r>
      <w:r w:rsidR="00CC1F8A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CC1F8A">
        <w:fldChar w:fldCharType="begin" w:fldLock="1"/>
      </w:r>
      <w:r w:rsidR="003E220B">
        <w:instrText xml:space="preserve"> PAGEREF _Ref271837610 \h </w:instrText>
      </w:r>
      <w:r w:rsidR="00CC1F8A">
        <w:fldChar w:fldCharType="separate"/>
      </w:r>
      <w:r w:rsidR="00451FB3">
        <w:rPr>
          <w:noProof/>
        </w:rPr>
        <w:t>25</w:t>
      </w:r>
      <w:r w:rsidR="00CC1F8A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CC1F8A">
        <w:fldChar w:fldCharType="begin"/>
      </w:r>
      <w:r w:rsidR="000D2A95">
        <w:instrText xml:space="preserve"> PAGEREF _Ref272420800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537141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CC1F8A">
        <w:fldChar w:fldCharType="begin"/>
      </w:r>
      <w:r w:rsidR="00DD54C7">
        <w:instrText xml:space="preserve"> PAGEREF _Ref272420940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CC1F8A">
        <w:fldChar w:fldCharType="begin"/>
      </w:r>
      <w:r w:rsidR="00962579"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537142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537143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_Toc272537144"/>
      <w:bookmarkStart w:id="113" w:name="OLE_LINK1"/>
      <w:bookmarkStart w:id="114" w:name="OLE_LINK2"/>
      <w:r>
        <w:t xml:space="preserve">Contexto de Geração </w:t>
      </w:r>
      <w:r w:rsidRPr="003A42D2">
        <w:rPr>
          <w:i/>
        </w:rPr>
        <w:t>(EDM.Generator.Context)</w:t>
      </w:r>
      <w:bookmarkEnd w:id="112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3"/>
      <w:bookmarkEnd w:id="114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537145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537146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CC1F8A">
        <w:fldChar w:fldCharType="begin" w:fldLock="1"/>
      </w:r>
      <w:r>
        <w:instrText xml:space="preserve"> REF _Ref271919214 \h </w:instrText>
      </w:r>
      <w:r w:rsidR="00CC1F8A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CC1F8A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537147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CC1F8A" w:rsidRPr="003E77CA">
        <w:fldChar w:fldCharType="begin"/>
      </w:r>
      <w:r w:rsidR="003E77CA" w:rsidRPr="003E77CA">
        <w:instrText xml:space="preserve"> PAGEREF _Ref272516843 \h </w:instrText>
      </w:r>
      <w:r w:rsidR="00CC1F8A" w:rsidRPr="003E77CA">
        <w:fldChar w:fldCharType="separate"/>
      </w:r>
      <w:r w:rsidR="00C36886">
        <w:rPr>
          <w:noProof/>
        </w:rPr>
        <w:t>14</w:t>
      </w:r>
      <w:r w:rsidR="00CC1F8A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CC1F8A">
        <w:fldChar w:fldCharType="begin"/>
      </w:r>
      <w:r w:rsidR="00871833">
        <w:instrText xml:space="preserve"> PAGEREF _Ref272516880 \h </w:instrText>
      </w:r>
      <w:r w:rsidR="00CC1F8A">
        <w:fldChar w:fldCharType="separate"/>
      </w:r>
      <w:r w:rsidR="00C36886">
        <w:rPr>
          <w:noProof/>
        </w:rPr>
        <w:t>14</w:t>
      </w:r>
      <w:r w:rsidR="00CC1F8A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537148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CC1F8A">
        <w:fldChar w:fldCharType="begin"/>
      </w:r>
      <w:r>
        <w:instrText xml:space="preserve"> PAGEREF _Ref272174844 \h </w:instrText>
      </w:r>
      <w:r w:rsidR="00CC1F8A">
        <w:fldChar w:fldCharType="separate"/>
      </w:r>
      <w:r w:rsidR="00C36886">
        <w:rPr>
          <w:noProof/>
        </w:rPr>
        <w:t>21</w:t>
      </w:r>
      <w:r w:rsidR="00CC1F8A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CC1F8A">
        <w:fldChar w:fldCharType="begin"/>
      </w:r>
      <w:r>
        <w:instrText xml:space="preserve"> PAGEREF _Ref272153381 \h </w:instrText>
      </w:r>
      <w:r w:rsidR="00CC1F8A">
        <w:fldChar w:fldCharType="separate"/>
      </w:r>
      <w:r w:rsidR="00C36886">
        <w:rPr>
          <w:noProof/>
        </w:rPr>
        <w:t>21</w:t>
      </w:r>
      <w:r w:rsidR="00CC1F8A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_Ref272450357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_Ref272153708 \h </w:instrText>
      </w:r>
      <w:r w:rsidR="00CC1F8A">
        <w:fldChar w:fldCharType="separate"/>
      </w:r>
      <w:r w:rsidR="00C36886">
        <w:rPr>
          <w:noProof/>
        </w:rPr>
        <w:t>22</w:t>
      </w:r>
      <w:r w:rsidR="00CC1F8A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CC1F8A">
        <w:fldChar w:fldCharType="begin"/>
      </w:r>
      <w:r w:rsidR="00204F11">
        <w:instrText xml:space="preserve"> PAGEREF _Ref272442850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CC1F8A">
        <w:fldChar w:fldCharType="begin"/>
      </w:r>
      <w:r>
        <w:instrText xml:space="preserve"> PAGEREF _Ref272435764 \h </w:instrText>
      </w:r>
      <w:r w:rsidR="00CC1F8A">
        <w:fldChar w:fldCharType="separate"/>
      </w:r>
      <w:r w:rsidR="00C36886">
        <w:rPr>
          <w:noProof/>
        </w:rPr>
        <w:t>29</w:t>
      </w:r>
      <w:r w:rsidR="00CC1F8A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CC1F8A">
        <w:fldChar w:fldCharType="begin"/>
      </w:r>
      <w:r>
        <w:instrText xml:space="preserve"> PAGEREF _Ref272156516 \h </w:instrText>
      </w:r>
      <w:r w:rsidR="00CC1F8A">
        <w:fldChar w:fldCharType="separate"/>
      </w:r>
      <w:r w:rsidR="00C36886">
        <w:rPr>
          <w:noProof/>
        </w:rPr>
        <w:t>23</w:t>
      </w:r>
      <w:r w:rsidR="00CC1F8A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CC1F8A">
        <w:fldChar w:fldCharType="begin"/>
      </w:r>
      <w:r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CC1F8A">
        <w:fldChar w:fldCharType="begin"/>
      </w:r>
      <w:r>
        <w:instrText xml:space="preserve"> PAGEREF _Ref272420800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537149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537150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CC1F8A">
        <w:fldChar w:fldCharType="begin"/>
      </w:r>
      <w:r>
        <w:instrText xml:space="preserve"> PAGEREF _Ref271717574 \h </w:instrText>
      </w:r>
      <w:r w:rsidR="00CC1F8A">
        <w:fldChar w:fldCharType="separate"/>
      </w:r>
      <w:r w:rsidR="00C36886">
        <w:rPr>
          <w:noProof/>
        </w:rPr>
        <w:t>13</w:t>
      </w:r>
      <w:r w:rsidR="00CC1F8A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CC1F8A">
        <w:fldChar w:fldCharType="begin"/>
      </w:r>
      <w:r>
        <w:instrText xml:space="preserve"> PAGEREF _Ref271832937 \h </w:instrText>
      </w:r>
      <w:r w:rsidR="00CC1F8A">
        <w:fldChar w:fldCharType="separate"/>
      </w:r>
      <w:r w:rsidR="00C36886">
        <w:rPr>
          <w:noProof/>
        </w:rPr>
        <w:t>12</w:t>
      </w:r>
      <w:r w:rsidR="00CC1F8A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537151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537152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CC1F8A">
        <w:fldChar w:fldCharType="begin"/>
      </w:r>
      <w:r w:rsidR="00B66022">
        <w:instrText xml:space="preserve"> PAGEREF _Ref272518465 \h </w:instrText>
      </w:r>
      <w:r w:rsidR="00CC1F8A">
        <w:fldChar w:fldCharType="separate"/>
      </w:r>
      <w:r w:rsidR="00C36886">
        <w:rPr>
          <w:noProof/>
        </w:rPr>
        <w:t>10</w:t>
      </w:r>
      <w:r w:rsidR="00CC1F8A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537153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537154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CC1F8A">
        <w:fldChar w:fldCharType="begin"/>
      </w:r>
      <w:r w:rsidR="002C1DAA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537155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537156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537157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CC1F8A">
        <w:fldChar w:fldCharType="begin"/>
      </w:r>
      <w:r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537158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537159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Pr="000256C9" w:rsidRDefault="00412C0A" w:rsidP="00412C0A">
      <w:pPr>
        <w:pStyle w:val="Heading1"/>
      </w:pPr>
      <w:bookmarkStart w:id="158" w:name="_Ref272518512"/>
      <w:bookmarkStart w:id="159" w:name="_Toc272537160"/>
      <w:r w:rsidRPr="000256C9">
        <w:lastRenderedPageBreak/>
        <w:t>Conclusões</w:t>
      </w:r>
      <w:bookmarkEnd w:id="158"/>
      <w:bookmarkEnd w:id="159"/>
    </w:p>
    <w:p w:rsidR="00D47785" w:rsidRDefault="00D47785" w:rsidP="001D5217"/>
    <w:p w:rsidR="0043121F" w:rsidRDefault="000D0DA2" w:rsidP="0043121F"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r>
        <w:t>Análise Crítica</w:t>
      </w:r>
    </w:p>
    <w:p w:rsidR="00D9292F" w:rsidRDefault="00220536">
      <w:pPr>
        <w:spacing w:after="0" w:line="240" w:lineRule="auto"/>
      </w:pPr>
      <w:r>
        <w:t>Considera-se que os objectivos de</w:t>
      </w:r>
      <w:r w:rsidR="00D9292F">
        <w:t>finidos</w:t>
      </w:r>
      <w:r>
        <w:t xml:space="preserve"> para o presente projecto foram atinjidos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Default="005B5C7A">
      <w:pPr>
        <w:spacing w:after="0" w:line="240" w:lineRule="auto"/>
      </w:pPr>
      <w:r>
        <w:t xml:space="preserve">Apesar de ser intenção inicial a possibilidade de utilização da presente solução para várias linguagens alvo, veio-se a verificar que a mesma se encontra dependente, por uma lado da </w:t>
      </w:r>
      <w:r w:rsidRPr="00A41E4E">
        <w:rPr>
          <w:i/>
        </w:rPr>
        <w:t>Framework .Net 3.5</w:t>
      </w:r>
      <w:r>
        <w:t xml:space="preserve">, e por outro do </w:t>
      </w:r>
      <w:r w:rsidRPr="00A41E4E">
        <w:rPr>
          <w:i/>
        </w:rPr>
        <w:t>IDE Microsoft Visual Studio 2008®</w:t>
      </w:r>
      <w:r w:rsidR="00A41E4E">
        <w:rPr>
          <w:i/>
        </w:rPr>
        <w:t xml:space="preserve"> </w:t>
      </w:r>
      <w:r>
        <w:t>constituindo estas as principais limitações do projecto.</w:t>
      </w:r>
    </w:p>
    <w:p w:rsidR="00D9292F" w:rsidRDefault="00D9292F" w:rsidP="00D9292F">
      <w:pPr>
        <w:pStyle w:val="Heading2"/>
      </w:pPr>
      <w:r>
        <w:t>Trabalhos futuros</w:t>
      </w:r>
    </w:p>
    <w:p w:rsidR="00D9292F" w:rsidRDefault="00D9292F">
      <w:pPr>
        <w:spacing w:after="0" w:line="240" w:lineRule="auto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>
      <w:pPr>
        <w:spacing w:after="0" w:line="240" w:lineRule="auto"/>
      </w:pP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0" w:name="_Toc272537161"/>
      <w:r>
        <w:lastRenderedPageBreak/>
        <w:t>Índice de Listagens</w:t>
      </w:r>
      <w:bookmarkEnd w:id="160"/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CC1F8A"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="005B6D69" w:rsidRPr="00AB3E51">
          <w:rPr>
            <w:rStyle w:val="Hyperlink"/>
            <w:noProof/>
          </w:rPr>
          <w:t>Listagem 2 - Definição da entidade 'Editor'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="005B6D69" w:rsidRPr="00AB3E51">
          <w:rPr>
            <w:rStyle w:val="Hyperlink"/>
            <w:noProof/>
          </w:rPr>
          <w:t>Listagem 3 - Definição da entidade 'Album'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="005B6D69" w:rsidRPr="00AB3E51">
          <w:rPr>
            <w:rStyle w:val="Hyperlink"/>
            <w:noProof/>
          </w:rPr>
          <w:t>Listagem 4 - Definição das entidades 'LP' e ‘EP’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="005B6D69" w:rsidRPr="00AB3E51">
          <w:rPr>
            <w:rStyle w:val="Hyperlink"/>
            <w:noProof/>
          </w:rPr>
          <w:t>Listagem 5 - Definição das entidades ‘Interprete’ e ‘Faixa’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="005B6D69" w:rsidRPr="00AB3E51">
          <w:rPr>
            <w:rStyle w:val="Hyperlink"/>
            <w:noProof/>
          </w:rPr>
          <w:t>Listagem 6 - Especificação das associações entre entidades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="005B6D69" w:rsidRPr="00AB3E51">
          <w:rPr>
            <w:rStyle w:val="Hyperlink"/>
            <w:noProof/>
          </w:rPr>
          <w:t>Listagem 7 - Definição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="005B6D69" w:rsidRPr="00AB3E51">
          <w:rPr>
            <w:rStyle w:val="Hyperlink"/>
            <w:noProof/>
          </w:rPr>
          <w:t>Listagem 8 - Parametrização de acesso a servidor de BD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="005B6D69" w:rsidRPr="00AB3E51">
          <w:rPr>
            <w:rStyle w:val="Hyperlink"/>
            <w:noProof/>
          </w:rPr>
          <w:t>Listagem 9 - Declaração de relação 1-n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="005B6D69" w:rsidRPr="00AB3E51">
          <w:rPr>
            <w:rStyle w:val="Hyperlink"/>
            <w:noProof/>
          </w:rPr>
          <w:t>Listagem 10 - Relação 1-n em object model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="005B6D69" w:rsidRPr="00AB3E51">
          <w:rPr>
            <w:rStyle w:val="Hyperlink"/>
            <w:noProof/>
          </w:rPr>
          <w:t>Listagem 11 - Declaração de relação n-1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="005B6D69" w:rsidRPr="00AB3E51">
          <w:rPr>
            <w:rStyle w:val="Hyperlink"/>
            <w:noProof/>
          </w:rPr>
          <w:t>Listagem 12 - Declaração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CC1F8A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1" w:name="_Toc272537162"/>
      <w:r>
        <w:t>Índice de Tabelas</w:t>
      </w:r>
      <w:bookmarkEnd w:id="161"/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CC1F8A"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="00C36886" w:rsidRPr="00383CEF">
          <w:rPr>
            <w:rStyle w:val="Hyperlink"/>
            <w:noProof/>
          </w:rPr>
          <w:t>Tabela 2 - Tipos disponibilizados e respectivas correspondências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="00C36886" w:rsidRPr="00383CEF">
          <w:rPr>
            <w:rStyle w:val="Hyperlink"/>
            <w:noProof/>
          </w:rPr>
          <w:t>Tabela 3 - Restrições aplicáveis a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="00C36886" w:rsidRPr="00383CEF">
          <w:rPr>
            <w:rStyle w:val="Hyperlink"/>
            <w:noProof/>
          </w:rPr>
          <w:t>Tabela 4 - Atributos do elemento field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="00C36886" w:rsidRPr="00383CEF">
          <w:rPr>
            <w:rStyle w:val="Hyperlink"/>
            <w:noProof/>
          </w:rPr>
          <w:t>Tabela 5 - Relações de herança possíveis no elemento 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="00C36886" w:rsidRPr="00383CEF">
          <w:rPr>
            <w:rStyle w:val="Hyperlink"/>
            <w:noProof/>
          </w:rPr>
          <w:t>Tabela 6 - Atributos do elemento provider de dataEnvironments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="00C36886" w:rsidRPr="00383CEF">
          <w:rPr>
            <w:rStyle w:val="Hyperlink"/>
            <w:noProof/>
          </w:rPr>
          <w:t>Tabela 7 - Atributos do elemento businessProcess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="00C36886" w:rsidRPr="00383CEF">
          <w:rPr>
            <w:rStyle w:val="Hyperlink"/>
            <w:noProof/>
          </w:rPr>
          <w:t>Tabela 8 - Atributos do elemento param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="00C36886" w:rsidRPr="00383CEF">
          <w:rPr>
            <w:rStyle w:val="Hyperlink"/>
            <w:noProof/>
          </w:rPr>
          <w:t>Tabela 9 - Atributos do elemento output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CC1F8A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2" w:name="_Toc272537163"/>
      <w:r>
        <w:lastRenderedPageBreak/>
        <w:t>Índice de Figuras</w:t>
      </w:r>
      <w:bookmarkEnd w:id="162"/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fldChar w:fldCharType="begin"/>
      </w:r>
      <w:r w:rsidR="001B3A32">
        <w:instrText xml:space="preserve"> TOC \h \z \c "Figura" </w:instrText>
      </w:r>
      <w:r w:rsidRPr="00CC1F8A"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="00C36886" w:rsidRPr="00D76543">
          <w:rPr>
            <w:rStyle w:val="Hyperlink"/>
            <w:noProof/>
          </w:rPr>
          <w:t>Figura 2 – Modelo Entidade Associação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="00C36886" w:rsidRPr="00D76543">
          <w:rPr>
            <w:rStyle w:val="Hyperlink"/>
            <w:noProof/>
          </w:rPr>
          <w:t>Figura 3 - Arquitectura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="00C36886" w:rsidRPr="00D76543">
          <w:rPr>
            <w:rStyle w:val="Hyperlink"/>
            <w:noProof/>
          </w:rPr>
          <w:t>Figura 4 - Modelação de relação 1-n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="00C36886" w:rsidRPr="00D76543">
          <w:rPr>
            <w:rStyle w:val="Hyperlink"/>
            <w:noProof/>
          </w:rPr>
          <w:t>Figura 5 - Estrutura de uma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="00C36886" w:rsidRPr="00D76543">
          <w:rPr>
            <w:rStyle w:val="Hyperlink"/>
            <w:noProof/>
          </w:rPr>
          <w:t>Figura 6 - Estrutura do projecto 'Rtti'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="00C36886" w:rsidRPr="00D76543">
          <w:rPr>
            <w:rStyle w:val="Hyperlink"/>
            <w:noProof/>
          </w:rPr>
          <w:t>Figura 7 - Estrutura do projecto 'Entity'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="00C36886" w:rsidRPr="00D76543">
          <w:rPr>
            <w:rStyle w:val="Hyperlink"/>
            <w:noProof/>
          </w:rPr>
          <w:t>Figura 8 - Estrutura do projecto 'Services'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="00C36886" w:rsidRPr="00D76543">
          <w:rPr>
            <w:rStyle w:val="Hyperlink"/>
            <w:noProof/>
          </w:rPr>
          <w:t>Figura 9 - Estrutura do projecto 'Ws'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="00C36886" w:rsidRPr="00D76543">
          <w:rPr>
            <w:rStyle w:val="Hyperlink"/>
            <w:noProof/>
          </w:rPr>
          <w:t>Figura 10 - Estrutura do projecto 'UnitTest'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="00C36886" w:rsidRPr="00D76543">
          <w:rPr>
            <w:rStyle w:val="Hyperlink"/>
            <w:noProof/>
          </w:rPr>
          <w:t>Figura 11 - Diagrama UML de classes do contexto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="00C36886" w:rsidRPr="00D76543">
          <w:rPr>
            <w:rStyle w:val="Hyperlink"/>
            <w:noProof/>
          </w:rPr>
          <w:t>Figura 12 - Diagrama UML de classes do motor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="00C36886" w:rsidRPr="00D76543">
          <w:rPr>
            <w:rStyle w:val="Hyperlink"/>
            <w:noProof/>
          </w:rPr>
          <w:t>Figura 13 - Diagrama UML de classes da geração por etapas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="00C36886" w:rsidRPr="00D76543">
          <w:rPr>
            <w:rStyle w:val="Hyperlink"/>
            <w:noProof/>
          </w:rPr>
          <w:t>Figura 14 - Diagrama UML de classes de validação de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="00C36886" w:rsidRPr="00D76543">
          <w:rPr>
            <w:rStyle w:val="Hyperlink"/>
            <w:noProof/>
          </w:rPr>
          <w:t>Figura 15 - Interface IEntity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="00C36886" w:rsidRPr="00D76543">
          <w:rPr>
            <w:rStyle w:val="Hyperlink"/>
            <w:noProof/>
          </w:rPr>
          <w:t>Figura 16 - Ecran de instalação do EDM.Template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="00C36886" w:rsidRPr="00D76543">
          <w:rPr>
            <w:rStyle w:val="Hyperlink"/>
            <w:noProof/>
          </w:rPr>
          <w:t>Figura 17 - Criação de Solução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="00C36886" w:rsidRPr="00D76543">
          <w:rPr>
            <w:rStyle w:val="Hyperlink"/>
            <w:noProof/>
          </w:rPr>
          <w:t>Figura 18 - Formulário de identificação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="00C36886" w:rsidRPr="00D76543">
          <w:rPr>
            <w:rStyle w:val="Hyperlink"/>
            <w:noProof/>
          </w:rPr>
          <w:t>Figura 19 - Estrutura de um template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CC1F8A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CDF" w:rsidRDefault="00BD1CDF" w:rsidP="0009294A">
      <w:pPr>
        <w:spacing w:after="0" w:line="240" w:lineRule="auto"/>
      </w:pPr>
      <w:r>
        <w:separator/>
      </w:r>
    </w:p>
  </w:endnote>
  <w:endnote w:type="continuationSeparator" w:id="0">
    <w:p w:rsidR="00BD1CDF" w:rsidRDefault="00BD1CDF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Default="002B6DF5">
    <w:pPr>
      <w:pStyle w:val="Footer"/>
      <w:jc w:val="right"/>
    </w:pPr>
  </w:p>
  <w:p w:rsidR="002B6DF5" w:rsidRDefault="002B6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2B6DF5" w:rsidRDefault="002B6DF5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B6DF5" w:rsidRDefault="002B6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2B6DF5" w:rsidRDefault="002B6DF5">
        <w:pPr>
          <w:pStyle w:val="Footer"/>
        </w:pPr>
        <w:r w:rsidRPr="00CC1F8A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2B6DF5" w:rsidRPr="0092114F" w:rsidRDefault="002B6DF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1E4E">
                      <w:rPr>
                        <w:noProof/>
                        <w:color w:val="808080" w:themeColor="background1" w:themeShade="80"/>
                      </w:rPr>
                      <w:t>37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CDF" w:rsidRDefault="00BD1CDF" w:rsidP="0009294A">
      <w:pPr>
        <w:spacing w:after="0" w:line="240" w:lineRule="auto"/>
      </w:pPr>
      <w:r>
        <w:separator/>
      </w:r>
    </w:p>
  </w:footnote>
  <w:footnote w:type="continuationSeparator" w:id="0">
    <w:p w:rsidR="00BD1CDF" w:rsidRDefault="00BD1CDF" w:rsidP="0009294A">
      <w:pPr>
        <w:spacing w:after="0" w:line="240" w:lineRule="auto"/>
      </w:pPr>
      <w:r>
        <w:continuationSeparator/>
      </w:r>
    </w:p>
  </w:footnote>
  <w:footnote w:id="1">
    <w:p w:rsidR="002B6DF5" w:rsidRDefault="002B6DF5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2B6DF5" w:rsidRDefault="002B6DF5">
        <w:pPr>
          <w:pStyle w:val="Header"/>
        </w:pPr>
        <w:r>
          <w:t>[Type text]</w:t>
        </w:r>
      </w:p>
    </w:sdtContent>
  </w:sdt>
  <w:p w:rsidR="002B6DF5" w:rsidRDefault="002B6D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Default="002B6D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Pr="00E7178C" w:rsidRDefault="002B6DF5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8306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1BDD"/>
    <w:rsid w:val="00702364"/>
    <w:rsid w:val="0070327F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7EF"/>
    <w:rsid w:val="00BC1CEE"/>
    <w:rsid w:val="00BC3A13"/>
    <w:rsid w:val="00BC58E6"/>
    <w:rsid w:val="00BD0E7C"/>
    <w:rsid w:val="00BD1CDF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4304E"/>
    <w:rsid w:val="00E52671"/>
    <w:rsid w:val="00E56392"/>
    <w:rsid w:val="00E6007F"/>
    <w:rsid w:val="00E63F46"/>
    <w:rsid w:val="00E67D7C"/>
    <w:rsid w:val="00E7178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9726FABC-2C74-41CC-94B7-33E46642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45</Pages>
  <Words>12366</Words>
  <Characters>66781</Characters>
  <Application>Microsoft Office Word</Application>
  <DocSecurity>0</DocSecurity>
  <Lines>556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Nuno.Sousa</cp:lastModifiedBy>
  <cp:revision>69</cp:revision>
  <cp:lastPrinted>2010-02-04T21:42:00Z</cp:lastPrinted>
  <dcterms:created xsi:type="dcterms:W3CDTF">2010-09-17T18:35:00Z</dcterms:created>
  <dcterms:modified xsi:type="dcterms:W3CDTF">2010-09-19T15:55:00Z</dcterms:modified>
</cp:coreProperties>
</file>