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1182508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5E95FC9A" w14:textId="7E74ED11" w:rsidR="00350DFD" w:rsidRPr="00350DFD" w:rsidRDefault="00350DFD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Í</w:t>
          </w:r>
          <w:r w:rsidRPr="00350DFD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ndice</w:t>
          </w:r>
          <w:proofErr w:type="spellEnd"/>
        </w:p>
        <w:p w14:paraId="67A590B1" w14:textId="662621DF" w:rsidR="0027744F" w:rsidRDefault="00350DF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74956" w:history="1">
            <w:r w:rsidR="0027744F"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pt-PT" w:eastAsia="en-GB"/>
              </w:rPr>
              <w:t>O BALANÇO DE PAGAMENTOS E OS SEUS IMPACTOS NA ESTABILIDADE MACROECONÓMICA</w:t>
            </w:r>
            <w:r w:rsidR="0027744F">
              <w:rPr>
                <w:noProof/>
                <w:webHidden/>
              </w:rPr>
              <w:tab/>
            </w:r>
            <w:r w:rsidR="0027744F">
              <w:rPr>
                <w:noProof/>
                <w:webHidden/>
              </w:rPr>
              <w:fldChar w:fldCharType="begin"/>
            </w:r>
            <w:r w:rsidR="0027744F">
              <w:rPr>
                <w:noProof/>
                <w:webHidden/>
              </w:rPr>
              <w:instrText xml:space="preserve"> PAGEREF _Toc232674956 \h </w:instrText>
            </w:r>
            <w:r w:rsidR="0027744F">
              <w:rPr>
                <w:noProof/>
                <w:webHidden/>
              </w:rPr>
            </w:r>
            <w:r w:rsidR="0027744F">
              <w:rPr>
                <w:noProof/>
                <w:webHidden/>
              </w:rPr>
              <w:fldChar w:fldCharType="separate"/>
            </w:r>
            <w:r w:rsidR="0027744F">
              <w:rPr>
                <w:noProof/>
                <w:webHidden/>
              </w:rPr>
              <w:t>2</w:t>
            </w:r>
            <w:r w:rsidR="0027744F">
              <w:rPr>
                <w:noProof/>
                <w:webHidden/>
              </w:rPr>
              <w:fldChar w:fldCharType="end"/>
            </w:r>
          </w:hyperlink>
        </w:p>
        <w:p w14:paraId="55ACD215" w14:textId="4094E911" w:rsidR="0027744F" w:rsidRDefault="002774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57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44C2A" w14:textId="66766F90" w:rsidR="0027744F" w:rsidRDefault="002774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58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2. Anatomia Detalhada do Balanço de Pagamentos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ACD9C" w14:textId="12621EF6" w:rsidR="0027744F" w:rsidRDefault="002774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59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2.1. A Conta Corrente (Transações Correntes)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EB829" w14:textId="77BE924A" w:rsidR="0027744F" w:rsidRDefault="002774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60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2.2. A Conta de Capital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BB23E" w14:textId="6597265D" w:rsidR="0027744F" w:rsidRDefault="002774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61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2.3. A Conta Financeira e Ativos de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1DAF2" w14:textId="5315E63F" w:rsidR="0027744F" w:rsidRDefault="002774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62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3. Mecanismos de Transmissão da Influência Positiva (Superávit)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81BB" w14:textId="18377F7A" w:rsidR="0027744F" w:rsidRDefault="002774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63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3.1. Apreciação Cambial e Choque de Oferta Deflacionário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2BAAC" w14:textId="43352E01" w:rsidR="0027744F" w:rsidRDefault="002774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64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3.2. Expansão do Espaço Fiscal e Redução do Risco-País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04D39" w14:textId="072C714E" w:rsidR="0027744F" w:rsidRDefault="002774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65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3.3. Ciclo Virtuoso de Investimento Estrutural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5D66" w14:textId="452045A0" w:rsidR="0027744F" w:rsidRDefault="002774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66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4. Dinâmica e Consequências da Influência Negativa (Défice Crónico)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ED5CB" w14:textId="6F2CD36B" w:rsidR="0027744F" w:rsidRDefault="002774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67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4.1. O Círculo Vicioso da Depreciação Cambial e Inflação Estrutural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8804" w14:textId="7E267E85" w:rsidR="0027744F" w:rsidRDefault="002774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68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4.2. Crise Cambial e Paralisia do Balanço de Pagamentos (Sudden Stop)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ACEEE" w14:textId="7BCC3D6E" w:rsidR="0027744F" w:rsidRDefault="002774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69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4.3. O Ajuste Recessivo Forçado e a Condição de Marshall-Lerner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15343" w14:textId="0D340B6D" w:rsidR="0027744F" w:rsidRDefault="002774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70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5. Matriz Avançada de Impactos Macroeconómicos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3D9CD" w14:textId="1F7A0CD6" w:rsidR="0027744F" w:rsidRDefault="002774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71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PT" w:eastAsia="en-GB"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6A9D" w14:textId="5D3E7C82" w:rsidR="0027744F" w:rsidRDefault="002774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674972" w:history="1">
            <w:r w:rsidRPr="00BE296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7.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88B2" w14:textId="45F1CB0C" w:rsidR="00350DFD" w:rsidRDefault="00350DFD">
          <w:r>
            <w:rPr>
              <w:b/>
              <w:bCs/>
              <w:noProof/>
            </w:rPr>
            <w:fldChar w:fldCharType="end"/>
          </w:r>
        </w:p>
      </w:sdtContent>
    </w:sdt>
    <w:p w14:paraId="3FB2F1C4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</w:rPr>
      </w:pPr>
    </w:p>
    <w:p w14:paraId="2CE85E6D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</w:rPr>
      </w:pPr>
    </w:p>
    <w:p w14:paraId="3B613D2C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</w:rPr>
      </w:pPr>
    </w:p>
    <w:p w14:paraId="3D7903F3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</w:rPr>
      </w:pPr>
    </w:p>
    <w:p w14:paraId="23D0A501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</w:rPr>
      </w:pPr>
    </w:p>
    <w:p w14:paraId="1D904AAC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</w:rPr>
      </w:pPr>
    </w:p>
    <w:p w14:paraId="1068E93A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</w:rPr>
      </w:pPr>
    </w:p>
    <w:p w14:paraId="1CBFB038" w14:textId="7C1D7044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 w:eastAsia="en-GB"/>
        </w:rPr>
      </w:pPr>
      <w:bookmarkStart w:id="0" w:name="_Toc232674956"/>
      <w:r w:rsidRPr="00350D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PT" w:eastAsia="en-GB"/>
        </w:rPr>
        <w:t>O BALANÇO DE PAGAMENTOS E OS SEUS IMPACTOS NA ESTABILIDADE MACROECONÓMICA</w:t>
      </w:r>
      <w:bookmarkEnd w:id="0"/>
    </w:p>
    <w:p w14:paraId="00D8220C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  <w:bookmarkStart w:id="1" w:name="_Toc232674957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  <w:t>1. Introdução</w:t>
      </w:r>
      <w:bookmarkEnd w:id="1"/>
    </w:p>
    <w:p w14:paraId="7E9EE7B1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Balanço de Pagamentos (BP) constitui um dos pilares fundamentais da análise macroeconómica contemporânea. Ele funciona como o espelho contabilístico e financeiro que reflete, de forma sistemática e padronizada, a totalidade das interações económicas, comerciais e financeiras estabelecidas entre os residentes de uma economia nacional e o resto do mundo, ao longo de um determinado período temporal (tipicamente um ano civil).</w:t>
      </w:r>
    </w:p>
    <w:p w14:paraId="312B807E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Num modelo económico globalizado, nenhuma nação opera em autarquia. O comércio de bens e serviços, os fluxos de investimento direto, as remessas de trabalhadores e os movimentos de capital financeiro interligam as nações de forma intrincada. Compreender o funcionamento do Balanço de Pagamentos é essencial para decifrar a saúde económica de um país, pois as suas flutuações influenciam diretamente variáveis críticas como a taxa de câmbio, a inflação, o nível de emprego, a taxa de juro e, em última análise, a soberania e a sustentabilidade do crescimento económico a longo prazo.</w:t>
      </w:r>
    </w:p>
    <w:p w14:paraId="6CED2548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objetivo deste trabalho é aprofundar a anatomia do Balanço de Pagamentos, decompor as suas contas principais e analisar de forma exaustiva os mecanismos de transmissão através dos quais saldos superavitários ou deficitários exercem influências positivas ou negativas no tecido económico nacional.</w:t>
      </w:r>
    </w:p>
    <w:p w14:paraId="60BC2E3F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  <w:bookmarkStart w:id="2" w:name="_Toc232674958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  <w:t>2. Anatomia Detalhada do Balanço de Pagamentos</w:t>
      </w:r>
      <w:bookmarkEnd w:id="2"/>
    </w:p>
    <w:p w14:paraId="2E4700BA" w14:textId="3ADEDA0F" w:rsid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Seguindo as diretrizes metodológicas do Fundo Monetário Internacional (FMI), o Balanço de Pagamentos é estruturado com base no método das partidas dobradas: cada transação 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lastRenderedPageBreak/>
        <w:t>internacional gera obrigatoriamente um crédito (entrada de recursos ou divisas) e um débito (saída de recursos ou divisas). O BP divide-se em três grandes blocos interdependentes:</w:t>
      </w:r>
    </w:p>
    <w:p w14:paraId="12603CC1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74F3B13D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bookmarkStart w:id="3" w:name="_Toc232674959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2.1. A Conta Corrente (Transações Correntes)</w:t>
      </w:r>
      <w:bookmarkEnd w:id="3"/>
    </w:p>
    <w:p w14:paraId="43E370EA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É o indicador mais monitorizado, pois reflete o rendimento líquido de um país proveniente do comércio internacional e de transferências. 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Subdivide-se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>em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76F8F50" w14:textId="77777777" w:rsidR="00350DFD" w:rsidRPr="00350DFD" w:rsidRDefault="00350DFD" w:rsidP="00350DF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Balança Comercial: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Mede a diferença entre as exportações (crédito) e importações (débito) de bens tangíveis (matérias-primas, automóveis, alimentos).</w:t>
      </w:r>
    </w:p>
    <w:p w14:paraId="5DD99C6B" w14:textId="77777777" w:rsidR="00350DFD" w:rsidRPr="00350DFD" w:rsidRDefault="00350DFD" w:rsidP="00350DF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Balança de Serviços: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Regista o comércio de intangíveis, tais como fretes marítimos, seguros internacionais, turismo, viagens e serviços de consultoria ou tecnologia.</w:t>
      </w:r>
    </w:p>
    <w:p w14:paraId="0052A318" w14:textId="77777777" w:rsidR="00350DFD" w:rsidRPr="00350DFD" w:rsidRDefault="00350DFD" w:rsidP="00350DF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Rendimentos Primários: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Contabiliza a remuneração dos fatores de produção (trabalho e capital). Inclui os salários pagos a trabalhadores transfronteiriços e, principalmente, o fluxo de lucros e dividendos remetidos por empresas multinacionais para as suas sedes, além do pagamento de juros da dívida externa.</w:t>
      </w:r>
    </w:p>
    <w:p w14:paraId="7D478A9C" w14:textId="77777777" w:rsidR="00350DFD" w:rsidRPr="00350DFD" w:rsidRDefault="00350DFD" w:rsidP="00350DF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Rendimentos Secundários (Transferências Correntes):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Transações unilaterais sem contrapartida económica direta. O exemplo mais expressivo são as remessas enviadas por emigrantes para as suas famílias no país de origem, além de ajuda humanitária ou doações internacionais.</w:t>
      </w:r>
    </w:p>
    <w:p w14:paraId="3C9D7A09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bookmarkStart w:id="4" w:name="_Toc232674960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2.2. A Conta de Capital</w:t>
      </w:r>
      <w:bookmarkEnd w:id="4"/>
    </w:p>
    <w:p w14:paraId="005F7AC6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Embora quantitativamente menor na maioria das economias, regista transferências de capital que envolvem a mudança de propriedade de ativos fixos, perdão de dívidas por parte de credores internacionais e a aquisição ou alienação de ativos não produzidos e não financeiros (como a compra e venda de patentes, direitos autorais, marcas registradas e licenças de exploração de recursos).</w:t>
      </w:r>
    </w:p>
    <w:p w14:paraId="69F5A6B0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bookmarkStart w:id="5" w:name="_Toc232674961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2.3. A Conta Financeira e Ativos de Reserva</w:t>
      </w:r>
      <w:bookmarkEnd w:id="5"/>
    </w:p>
    <w:p w14:paraId="1008A6F4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Reflete a forma como o saldo das contas anteriores é financiado. Ela regista as alterações de propriedade dos ativos e passivos financeiros do país com o exterior:</w:t>
      </w:r>
    </w:p>
    <w:p w14:paraId="36F9878D" w14:textId="77777777" w:rsidR="00350DFD" w:rsidRPr="00350DFD" w:rsidRDefault="00350DFD" w:rsidP="00350DF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lastRenderedPageBreak/>
        <w:t xml:space="preserve">Investimento </w:t>
      </w:r>
      <w:proofErr w:type="spellStart"/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Directo</w:t>
      </w:r>
      <w:proofErr w:type="spellEnd"/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Estrangeiro (IDE):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Aplicações de capital de longo prazo em que o investidor adquire uma participação significativa (geralmente superior a 10%) numa empresa local, implicando capacidade de gestão (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ex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construção de fábricas, infraestruturas).</w:t>
      </w:r>
    </w:p>
    <w:p w14:paraId="1DD20CCF" w14:textId="77777777" w:rsidR="00350DFD" w:rsidRPr="00350DFD" w:rsidRDefault="00350DFD" w:rsidP="00350DF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Investimento em Carteira (Portfolio):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Fluxos de capital de curto ou médio prazo focados em ativos financeiros líquidos, como ações em bolsas de valores ou títulos de dívida pública e privada. 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São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>capitais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>altamente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>voláteis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>frequentemente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>apelidados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hot money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E4219D9" w14:textId="77777777" w:rsidR="00350DFD" w:rsidRPr="00350DFD" w:rsidRDefault="00350DFD" w:rsidP="00350DF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Derivados Financeiros e Outros Investimentos: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Empréstimos comerciais, créditos bancários e depósitos transfronteiriços.</w:t>
      </w:r>
    </w:p>
    <w:p w14:paraId="68E65998" w14:textId="77777777" w:rsidR="00350DFD" w:rsidRPr="00350DFD" w:rsidRDefault="00350DFD" w:rsidP="00350DF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Ativos de Reserva (Reservas Internacionais):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Geridas pelo Banco Central, englobam moedas estrangeiras fortes (Dólar, Euro, Iene), ouro monetário e Direitos Especiais de Saque (DES). É a conta que equilibra matematicamente o Balanço de Pagamentos.</w:t>
      </w:r>
    </w:p>
    <w:p w14:paraId="68080C29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  <w:bookmarkStart w:id="6" w:name="_Toc232674962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  <w:t>3. Mecanismos de Transmissão da Influência Positiva (</w:t>
      </w:r>
      <w:proofErr w:type="spellStart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  <w:t>Superávit</w:t>
      </w:r>
      <w:proofErr w:type="spellEnd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  <w:t>)</w:t>
      </w:r>
      <w:bookmarkEnd w:id="6"/>
    </w:p>
    <w:p w14:paraId="17C768F9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Um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superávit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ocorre quando a soma da Conta Corrente e da Conta de Capital é superior às saídas da Conta Financeira (excluindo as reservas), forçando o Banco Central a acumular divisas estrangeiras. Este cenário gera uma série de externalidades positivas na macroeconomia:</w:t>
      </w:r>
    </w:p>
    <w:p w14:paraId="5812D765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bookmarkStart w:id="7" w:name="_Toc232674963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3.1. Apreciação Cambial e Choque de Oferta Deflacionário</w:t>
      </w:r>
      <w:bookmarkEnd w:id="7"/>
    </w:p>
    <w:p w14:paraId="65DE2DB5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A mecânica é ditada pela lei da oferta e da procura no mercado de câmbios. Quando as exportações ou o IDE são elevados, há uma entrada massiva de moeda estrangeira. Para operar dentro do país, os agentes económicos precisam de converter essas divisas em moeda local. O aumento da procura pela moeda nacional provoca a sua </w:t>
      </w: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apreciação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178C67CD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Uma moeda local valorizada reduz o custo de aquisição de bens importados. Para indústrias que dependem de insumos externos, bens de capital (máquinas) e tecnologia, isto traduz-se numa redução dos custos de produção. Este fenómeno gera um "choque de oferta positivo", empurrando a curva de inflação para baixo e preservando o poder de compra real da população.</w:t>
      </w:r>
    </w:p>
    <w:p w14:paraId="0076DE4C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bookmarkStart w:id="8" w:name="_Toc232674964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lastRenderedPageBreak/>
        <w:t>3.2. Expansão do Espaço Fiscal e Redução do Risco-País</w:t>
      </w:r>
      <w:bookmarkEnd w:id="8"/>
    </w:p>
    <w:p w14:paraId="6B3AAD46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A acumulação de robustas Reservas Internacionais funciona como um sinalizador de solvabilidade para o mercado financeiro global. Agências de classificação de risco (como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Moody's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, S&amp;P e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Fitch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) tendem a elevar a nota de crédito do país.</w:t>
      </w:r>
    </w:p>
    <w:p w14:paraId="451641F4" w14:textId="77777777" w:rsidR="00350DFD" w:rsidRPr="00350DFD" w:rsidRDefault="00350DFD" w:rsidP="00350DF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Consequência: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O "Risco-País" desce, permitindo que o governo e as empresas privadas captem recursos no exterior pagando taxas de juro significativamente menores.</w:t>
      </w:r>
    </w:p>
    <w:p w14:paraId="01ED05D6" w14:textId="77777777" w:rsidR="00350DFD" w:rsidRPr="00350DFD" w:rsidRDefault="00350DFD" w:rsidP="00350DF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governo ganha maior margem de manobra orçamental (espaço fiscal), uma vez que gasta menos recursos no serviço da dívida e pode canalizar capital para investimentos públicos estruturantes (educação, saúde, transportes).</w:t>
      </w:r>
    </w:p>
    <w:p w14:paraId="7D058E32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bookmarkStart w:id="9" w:name="_Toc232674965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3.3. Ciclo Virtuoso de Investimento Estrutural</w:t>
      </w:r>
      <w:bookmarkEnd w:id="9"/>
    </w:p>
    <w:p w14:paraId="592D21DB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A estabilidade macroeconómica decorrente de um BP equilibrado ou superavitário reduz as incertezas de longo prazo. O Investimento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Directo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Estrangeiro (IDE) deixa de ser meramente especulativo e passa a ser produtivo. Ocorre uma transferência de tecnologia e </w:t>
      </w:r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know-how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o que eleva a produtividade total dos fatores (PTF) da economia doméstica, tornando-a mais competitiva no cenário global.</w:t>
      </w:r>
    </w:p>
    <w:p w14:paraId="3378AB8C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  <w:bookmarkStart w:id="10" w:name="_Toc232674966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  <w:t>4. Dinâmica e Consequências da Influência Negativa (Défice Crónico)</w:t>
      </w:r>
      <w:bookmarkEnd w:id="10"/>
    </w:p>
    <w:p w14:paraId="3759DD4C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Um défice crónico e persistente no Balanço de Pagamentos (especialmente na Conta Corrente) sinaliza que o país está a viver acima dos seus meios produtivos, consumindo mais riqueza do que aquela que gera e dependendo </w:t>
      </w:r>
      <w:proofErr w:type="gramStart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do poupança externa</w:t>
      </w:r>
      <w:proofErr w:type="gramEnd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para fechar a conta.</w:t>
      </w:r>
    </w:p>
    <w:p w14:paraId="0D8B725F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bookmarkStart w:id="11" w:name="_Toc232674967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4.1. O Círculo Vicioso da Depreciação Cambial e Inflação Estrutural</w:t>
      </w:r>
      <w:bookmarkEnd w:id="11"/>
    </w:p>
    <w:p w14:paraId="39AF5E1C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Inversamente ao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superávit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, a escassez de divisas estrangeiras e a necessidade contínua de cobrir obrigações externas forçam os agentes económicos a vender a moeda local para adquirir dólares ou euros. O resultado é a </w:t>
      </w: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depreciação cambial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17BA2979" w14:textId="77777777" w:rsidR="00350DFD" w:rsidRPr="00350DFD" w:rsidRDefault="00350DFD" w:rsidP="00350DFD">
      <w:pPr>
        <w:spacing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lastRenderedPageBreak/>
        <w:t>A Armadilha da Inflação Importada: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Com a moeda local enfraquecida, o preço dos produtos importados dispara. Em economias em desenvolvimento, onde há forte dependência de combustíveis fósseis e alimentos importados, a desvalorização cambial é imediatamente repassada para os preços ao consumidor, gerando uma inflação persistente por via dos custos, que corrói os salários reais.</w:t>
      </w:r>
    </w:p>
    <w:p w14:paraId="5BD5BD81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bookmarkStart w:id="12" w:name="_Toc232674968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4.2. Crise Cambial e Paralisia do Balanço de Pagamentos (</w:t>
      </w:r>
      <w:proofErr w:type="spellStart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Sudden</w:t>
      </w:r>
      <w:proofErr w:type="spellEnd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 xml:space="preserve"> Stop)</w:t>
      </w:r>
      <w:bookmarkEnd w:id="12"/>
    </w:p>
    <w:p w14:paraId="31D3E0B2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Se o défice for financiado por capital de curto prazo (</w:t>
      </w:r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 xml:space="preserve">hot </w:t>
      </w:r>
      <w:proofErr w:type="spellStart"/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money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), a economia torna-se refém do humor dos mercados internacionais. Perante qualquer instabilidade política interna ou subida de juros em economias desenvolvidas (como a Reserva Federal dos EUA), os investidores estrangeiros podem retirar o seu capital abruptamente — um fenómeno conhecido na literatura económica como </w:t>
      </w:r>
      <w:proofErr w:type="spellStart"/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Sudden</w:t>
      </w:r>
      <w:proofErr w:type="spellEnd"/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 xml:space="preserve"> Stop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(paragem repentina).</w:t>
      </w:r>
    </w:p>
    <w:p w14:paraId="285FD68C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Sem capital estrangeiro para financiar o défice corrente, o Banco Central é obrigado a queimar as suas reservas internacionais para evitar o colapso cambial. Quando as reservas atingem níveis criticamente baixos (geralmente medidos como menos de 3 meses de cobertura de importações), o país entra em crise de liquidez externa, podendo resultar em </w:t>
      </w:r>
      <w:proofErr w:type="spellStart"/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default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(incumprimento) da dívida externa.</w:t>
      </w:r>
    </w:p>
    <w:p w14:paraId="7FB67014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bookmarkStart w:id="13" w:name="_Toc232674969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4.3. O Ajuste Recessivo Forçado e a Condição de Marshall-</w:t>
      </w:r>
      <w:proofErr w:type="spellStart"/>
      <w:r w:rsidRPr="00350DFD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Lerner</w:t>
      </w:r>
      <w:bookmarkEnd w:id="13"/>
      <w:proofErr w:type="spellEnd"/>
    </w:p>
    <w:p w14:paraId="14F6AA73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Para corrigir um défice estrutural sem financiamento, o país é forçado a passar por um ajuste recessivo através de políticas económicas restritivas:</w:t>
      </w:r>
    </w:p>
    <w:p w14:paraId="55F5C8EE" w14:textId="77777777" w:rsidR="00350DFD" w:rsidRPr="00350DFD" w:rsidRDefault="00350DFD" w:rsidP="00350DF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Aperto Monetário: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O Banco Central eleva agressivamente as taxas de juro para frear o consumo e o investimento privado. Ao contrair a atividade económica, as importações diminuem por falta de rendimento disponível.</w:t>
      </w:r>
    </w:p>
    <w:p w14:paraId="512A336B" w14:textId="77777777" w:rsidR="00350DFD" w:rsidRPr="00350DFD" w:rsidRDefault="00350DFD" w:rsidP="00350DFD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Ajuste Fiscal: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Corte de despesas públicas e aumento de impostos para reduzir a procura agregada.</w:t>
      </w:r>
    </w:p>
    <w:p w14:paraId="5B036B5B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Teoricamente, a desvalorização da moeda deveria estimular as exportações (que ficam mais baratas para o exterior) e desincentivar as importações. No entanto, segundo a </w:t>
      </w: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Condição de Marshall-</w:t>
      </w:r>
      <w:proofErr w:type="spellStart"/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Lerner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, este ajuste não é imediato devido ao efeito da </w:t>
      </w: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Curva J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: no curto prazo, o défice pode piorar porque os contratos de importação já assinados têm de ser pagos a preços 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lastRenderedPageBreak/>
        <w:t>mais altos, e as exportações demoram meses para reagir e reestruturar os seus canais de escoamento.</w:t>
      </w:r>
    </w:p>
    <w:p w14:paraId="2E37C296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66AAAD16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06B5FDE2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</w:p>
    <w:p w14:paraId="467A25DF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</w:p>
    <w:p w14:paraId="7712C073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</w:p>
    <w:p w14:paraId="0831D4E2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</w:p>
    <w:p w14:paraId="47349796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</w:p>
    <w:p w14:paraId="1B6E9312" w14:textId="77777777" w:rsid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</w:p>
    <w:p w14:paraId="2D3A79F2" w14:textId="47A837B9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  <w:bookmarkStart w:id="14" w:name="_Toc232674970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  <w:t>5. Matriz Avançada de Impactos Macroeconómicos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889"/>
        <w:gridCol w:w="3953"/>
      </w:tblGrid>
      <w:tr w:rsidR="00350DFD" w:rsidRPr="00350DFD" w14:paraId="69A43A70" w14:textId="77777777" w:rsidTr="00350D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5045E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Indicador</w:t>
            </w:r>
            <w:proofErr w:type="spellEnd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Económico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5609E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en-GB"/>
              </w:rPr>
              <w:t xml:space="preserve">Estado de </w:t>
            </w:r>
            <w:proofErr w:type="spellStart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en-GB"/>
              </w:rPr>
              <w:t>Superávit</w:t>
            </w:r>
            <w:proofErr w:type="spellEnd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en-GB"/>
              </w:rPr>
              <w:t xml:space="preserve"> (Saldo Positivo)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85868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en-GB"/>
              </w:rPr>
              <w:t>Estado de Défice (Saldo Negativo)</w:t>
            </w:r>
          </w:p>
        </w:tc>
      </w:tr>
      <w:tr w:rsidR="00350DFD" w:rsidRPr="00350DFD" w14:paraId="7BD7DE45" w14:textId="77777777" w:rsidTr="00350D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2BE6B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Taxa de </w:t>
            </w:r>
            <w:proofErr w:type="spellStart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Câmbio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FEB1B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Pressão para a valorização da moeda nacional.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B5BA6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Tendência severa de depreciação/desvalorização.</w:t>
            </w:r>
          </w:p>
        </w:tc>
      </w:tr>
      <w:tr w:rsidR="00350DFD" w:rsidRPr="00350DFD" w14:paraId="7B4D610D" w14:textId="77777777" w:rsidTr="00350D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6FDB8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Dinâmica</w:t>
            </w:r>
            <w:proofErr w:type="spellEnd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da </w:t>
            </w:r>
            <w:proofErr w:type="spellStart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Inflação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0510A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Controlo de preços via importações mais baratas.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B443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Inflação de custos (choque cambial em bens essenciais).</w:t>
            </w:r>
          </w:p>
        </w:tc>
      </w:tr>
      <w:tr w:rsidR="00350DFD" w:rsidRPr="00350DFD" w14:paraId="5960C700" w14:textId="77777777" w:rsidTr="00350D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13385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Reservas</w:t>
            </w:r>
            <w:proofErr w:type="spellEnd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Internacionais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262A2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Acumulação e fortalecimento da soberania financeira.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EE193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Depleção/Drenagem de reservas para honrar compromissos.</w:t>
            </w:r>
          </w:p>
        </w:tc>
      </w:tr>
      <w:tr w:rsidR="00350DFD" w:rsidRPr="00350DFD" w14:paraId="47BC2A11" w14:textId="77777777" w:rsidTr="00350D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F3BEA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Política </w:t>
            </w:r>
            <w:proofErr w:type="spellStart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Monetária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A75F1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Permite taxas de juro mais baixas e estáveis.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B9B28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Obriga à subida de juros (aperto) para reter capitais.</w:t>
            </w:r>
          </w:p>
        </w:tc>
      </w:tr>
      <w:tr w:rsidR="00350DFD" w:rsidRPr="00350DFD" w14:paraId="56C5F58A" w14:textId="77777777" w:rsidTr="00350D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6B488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Dívida</w:t>
            </w:r>
            <w:proofErr w:type="spellEnd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Externa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87D87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Redução do peso real da dívida indexada a moedas fortes.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47FC2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Crescimento exponencial do stock da dívida em moeda local.</w:t>
            </w:r>
          </w:p>
        </w:tc>
      </w:tr>
      <w:tr w:rsidR="00350DFD" w:rsidRPr="00350DFD" w14:paraId="6AAEFFE4" w14:textId="77777777" w:rsidTr="00350D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99497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Emprego</w:t>
            </w:r>
            <w:proofErr w:type="spellEnd"/>
            <w:r w:rsidRPr="00350D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e PIB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61616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Estímulo ao crescimento via investimento produtivo.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0A6E" w14:textId="77777777" w:rsidR="00350DFD" w:rsidRPr="00350DFD" w:rsidRDefault="00350DFD" w:rsidP="00350DFD">
            <w:pPr>
              <w:spacing w:after="48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350DFD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Risco de estagnação ou recessão devido à austeridade.</w:t>
            </w:r>
          </w:p>
        </w:tc>
      </w:tr>
    </w:tbl>
    <w:p w14:paraId="569BB72D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</w:pPr>
      <w:bookmarkStart w:id="15" w:name="_Toc232674971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en-GB"/>
        </w:rPr>
        <w:t>6. Conclusão</w:t>
      </w:r>
      <w:bookmarkEnd w:id="15"/>
    </w:p>
    <w:p w14:paraId="2ECF2206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 análise aprofundada do Balanço de Pagamentos revela que este indicador transcende a mera contabilidade nacional; ele define as margens de escolha da política económica de um país.</w:t>
      </w:r>
    </w:p>
    <w:p w14:paraId="5B591080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Um </w:t>
      </w:r>
      <w:proofErr w:type="spellStart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superávit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sustentado, impulsionado por uma base exportadora de alto valor acrescentado ou pela capacidade de atrair investimento produtivo estável, confere blindagem 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lastRenderedPageBreak/>
        <w:t>macroeconómica, estabilidade de preços e autonomia política. Por outro lado, um défice crónico atua como uma âncora que arrasta a economia para a vulnerabilidade externa, dependência de organismos financeiros internacionais (como o FMI) e ciclos de recessão induzida para conter o consumo de divisas.</w:t>
      </w:r>
    </w:p>
    <w:p w14:paraId="02DAF3EB" w14:textId="77777777" w:rsidR="00350DFD" w:rsidRPr="00350DFD" w:rsidRDefault="00350DFD" w:rsidP="00350DF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Contudo, a gestão económica moderna preconiza que o saldo ideal é o de </w:t>
      </w: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equilíbrio dinâmico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 Um défice temporário pode ser uma estratégia virtuosa se for direcionado para a importação de bens de capital que modernizem a indústria nacional. O determinante crítico do sucesso económico reside, portanto, na qualidade e na sustentabilidade do financiamento das contas externas a longo prazo.</w:t>
      </w:r>
    </w:p>
    <w:p w14:paraId="2C2611C5" w14:textId="77777777" w:rsidR="00350DFD" w:rsidRPr="00350DFD" w:rsidRDefault="00350DFD" w:rsidP="00350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bookmarkStart w:id="16" w:name="_Toc232674972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7. </w:t>
      </w:r>
      <w:proofErr w:type="spellStart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Referências</w:t>
      </w:r>
      <w:proofErr w:type="spellEnd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50D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Bibliográficas</w:t>
      </w:r>
      <w:bookmarkEnd w:id="16"/>
      <w:proofErr w:type="spellEnd"/>
    </w:p>
    <w:p w14:paraId="4B847EFE" w14:textId="77777777" w:rsidR="00350DFD" w:rsidRPr="00350DFD" w:rsidRDefault="00350DFD" w:rsidP="00350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Blanchard, O.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(2017). </w:t>
      </w:r>
      <w:proofErr w:type="spellStart"/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Macroeconomia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(7.ª ed.). Pearson Education.</w:t>
      </w:r>
    </w:p>
    <w:p w14:paraId="2AEB881A" w14:textId="77777777" w:rsidR="00350DFD" w:rsidRPr="00350DFD" w:rsidRDefault="00350DFD" w:rsidP="00350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Fundo Monetário Internacional [FMI].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(2009). </w:t>
      </w:r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Manual de Balanço de Pagamentos e Posição de Investimento Internacional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(6.ª ed., BPM6). 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>FMI.</w:t>
      </w:r>
    </w:p>
    <w:p w14:paraId="7A92308D" w14:textId="77777777" w:rsidR="00350DFD" w:rsidRPr="00350DFD" w:rsidRDefault="00350DFD" w:rsidP="00350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Krugman, P. R., Obstfeld, M., &amp; Melitz, M. J.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(2018). </w:t>
      </w:r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Economia Internacional: Teoria e Política</w:t>
      </w:r>
      <w:r w:rsidRPr="00350DF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(11.ª ed.). 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>Pearson Education.</w:t>
      </w:r>
    </w:p>
    <w:p w14:paraId="005EE2D5" w14:textId="77777777" w:rsidR="00350DFD" w:rsidRPr="00350DFD" w:rsidRDefault="00350DFD" w:rsidP="00350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Mankiw, N. G.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(2021). </w:t>
      </w:r>
      <w:proofErr w:type="spellStart"/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Macroeconomia</w:t>
      </w:r>
      <w:proofErr w:type="spellEnd"/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(11.ª ed.). Worth Publishers.</w:t>
      </w:r>
    </w:p>
    <w:p w14:paraId="10588DEA" w14:textId="77777777" w:rsidR="00350DFD" w:rsidRPr="00350DFD" w:rsidRDefault="00350DFD" w:rsidP="00350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Mishkin, F. S.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(2019). </w:t>
      </w:r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Economics of Money, Banking and Financial Markets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(12.ª ed.). Pearson.</w:t>
      </w:r>
    </w:p>
    <w:p w14:paraId="7CE91BEE" w14:textId="77777777" w:rsidR="00350DFD" w:rsidRPr="00350DFD" w:rsidRDefault="00350DFD" w:rsidP="00350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50D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Thirlwall, A. P.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(2011). </w:t>
      </w:r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Balance of Payments Constrained Growth Models: History and Nomenclature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r w:rsidRPr="00350DF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Structural Change and Economic Dynamics</w:t>
      </w:r>
      <w:r w:rsidRPr="00350DFD">
        <w:rPr>
          <w:rFonts w:ascii="Times New Roman" w:eastAsia="Times New Roman" w:hAnsi="Times New Roman" w:cs="Times New Roman"/>
          <w:sz w:val="24"/>
          <w:szCs w:val="24"/>
          <w:lang w:eastAsia="en-GB"/>
        </w:rPr>
        <w:t>, 22(4), 307-321.</w:t>
      </w:r>
    </w:p>
    <w:p w14:paraId="45F76836" w14:textId="77777777" w:rsidR="009E4CEF" w:rsidRPr="00350DFD" w:rsidRDefault="009E4CEF" w:rsidP="00350DFD">
      <w:pPr>
        <w:spacing w:line="360" w:lineRule="auto"/>
        <w:jc w:val="both"/>
        <w:rPr>
          <w:lang w:val="pt-PT"/>
        </w:rPr>
      </w:pPr>
    </w:p>
    <w:sectPr w:rsidR="009E4CEF" w:rsidRPr="00350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97816" w14:textId="77777777" w:rsidR="00DE0161" w:rsidRDefault="00DE0161" w:rsidP="00350DFD">
      <w:pPr>
        <w:spacing w:after="0" w:line="240" w:lineRule="auto"/>
      </w:pPr>
      <w:r>
        <w:separator/>
      </w:r>
    </w:p>
  </w:endnote>
  <w:endnote w:type="continuationSeparator" w:id="0">
    <w:p w14:paraId="6471FF74" w14:textId="77777777" w:rsidR="00DE0161" w:rsidRDefault="00DE0161" w:rsidP="00350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E085A" w14:textId="77777777" w:rsidR="00DE0161" w:rsidRDefault="00DE0161" w:rsidP="00350DFD">
      <w:pPr>
        <w:spacing w:after="0" w:line="240" w:lineRule="auto"/>
      </w:pPr>
      <w:r>
        <w:separator/>
      </w:r>
    </w:p>
  </w:footnote>
  <w:footnote w:type="continuationSeparator" w:id="0">
    <w:p w14:paraId="49C0C9AA" w14:textId="77777777" w:rsidR="00DE0161" w:rsidRDefault="00DE0161" w:rsidP="00350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719F2"/>
    <w:multiLevelType w:val="multilevel"/>
    <w:tmpl w:val="005E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46CA1"/>
    <w:multiLevelType w:val="multilevel"/>
    <w:tmpl w:val="741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C2FDF"/>
    <w:multiLevelType w:val="multilevel"/>
    <w:tmpl w:val="7D4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D0783"/>
    <w:multiLevelType w:val="multilevel"/>
    <w:tmpl w:val="B7B4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848FA"/>
    <w:multiLevelType w:val="multilevel"/>
    <w:tmpl w:val="C556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FD"/>
    <w:rsid w:val="0027744F"/>
    <w:rsid w:val="00350DFD"/>
    <w:rsid w:val="005267C4"/>
    <w:rsid w:val="009E4CEF"/>
    <w:rsid w:val="00D03544"/>
    <w:rsid w:val="00DE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FBFB"/>
  <w15:chartTrackingRefBased/>
  <w15:docId w15:val="{AB34A3A4-07F6-4267-9108-E3DE1F75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D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50DF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0DF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0DFD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350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0DF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50D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0D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50DF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50D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1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5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98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7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3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1E164-CC24-435B-BFF9-55C782FD9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2104</Words>
  <Characters>11994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</dc:creator>
  <cp:keywords/>
  <dc:description/>
  <cp:lastModifiedBy>Elisa</cp:lastModifiedBy>
  <cp:revision>1</cp:revision>
  <dcterms:created xsi:type="dcterms:W3CDTF">2026-06-18T09:25:00Z</dcterms:created>
  <dcterms:modified xsi:type="dcterms:W3CDTF">2026-06-18T09:36:00Z</dcterms:modified>
</cp:coreProperties>
</file>