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Build Prompt for the Medical Records MVP</w:t>
      </w:r>
    </w:p>
    <w:p>
      <w:pPr>
        <w:pStyle w:val="Subtitle"/>
      </w:pPr>
      <w:r>
        <w:t>Copy ready implementation instructions for Netrue Health</w:t>
      </w:r>
    </w:p>
    <w:p>
      <w:r>
        <w:t>Prepared for Jeremiah Alaba Juba and Netrue Limited | Version 1.0 | 7 October 2026</w:t>
      </w:r>
    </w:p>
    <w:p>
      <w:r>
        <w:t>Use this document with the Medical Records PWA MVP Specification. Copy the master prompt sections below into Codex, and attach the specification when possible. The master prompt is self contained for the principal engineering and safety requirements; the specification adds detailed workflow and release criteria.</w:t>
      </w:r>
    </w:p>
    <w:p>
      <w:pPr>
        <w:pStyle w:val="Heading2"/>
      </w:pPr>
      <w:r>
        <w:t>How to use this prompt</w:t>
      </w:r>
    </w:p>
    <w:p>
      <w:r>
        <w:t>Start in a new repository or an isolated branch of an existing project. Ask Codex to implement each milestone and continue through the remaining milestones. Supply service credentials through environment secrets, not in the prompt. Begin with synthetic data. Real patient use requires the release decisions described in the specification.</w:t>
      </w:r>
    </w:p>
    <w:p>
      <w:pPr>
        <w:pStyle w:val="Heading2"/>
      </w:pPr>
      <w:r>
        <w:t>Master prompt begins</w:t>
      </w:r>
    </w:p>
    <w:p>
      <w:r>
        <w:t>You are the lead full stack engineer implementing Netrue Health, a mobile first installable PWA for adults in Nigeria to own and organise their medical history, securely share chosen records with named verified practitioners, receive reports from approved facilities and discover nearby hospitals and laboratories. Build a working persisted application with a real backend and tests. Do not stop at a mockup, plan, UI scaffold or static sample dashboard.</w:t>
      </w:r>
    </w:p>
    <w:p>
      <w:r>
        <w:t>Use the supplied Medical Records PWA MVP Specification as the detailed requirements. If it is unavailable, follow every requirement in this prompt. Treat Netrue Health as a provisional name. Inspect the repository and its applicable instructions first. Preserve existing working code; use an isolated branch if appropriate. Record assumptions and architecture decisions. Do not silently simplify access controls or privacy boundaries to make a demo look complete.</w:t>
      </w:r>
    </w:p>
    <w:p>
      <w:r>
        <w:t>Implement all milestones in order and verify each one before continuing. Keep a progress file with completed work, remaining work, validation and blockers. If external services are unavailable, provide explicit local adapters and synthetic fixtures while leaving the production integration disabled. Do not claim a mock integration is live. Do not deploy a public service containing health data or claim regulatory approval.</w:t>
      </w:r>
    </w:p>
    <w:p>
      <w:r>
        <w:br w:type="page"/>
      </w:r>
    </w:p>
    <w:p>
      <w:pPr>
        <w:pStyle w:val="Heading1"/>
      </w:pPr>
      <w:r>
        <w:t>1 Stack repository and environment</w:t>
      </w:r>
    </w:p>
    <w:p>
      <w:r>
        <w:t>Use TypeScript throughout. Create a pnpm workspace with apps/web for React and Vite, apps/api for Fastify, apps/worker for BullMQ jobs, packages/shared for Zod contracts, packages/policy for central authorisation and packages/results for deterministic comparisons. Use PostgreSQL with Prisma migrations, private S3 compatible storage and Redis. Docker Compose must support local PostgreSQL, Redis, MinIO and a local malware scanner or a clearly marked fail closed scanner adapter.</w:t>
      </w:r>
    </w:p>
    <w:p>
      <w:r>
        <w:t>Use React Router, TanStack Query, Tailwind CSS and accessible components. Add Vitest for unit and integration tests and Playwright for browser workflows. Select maintained compatible dependency versions at implementation time, pin versions and commit the lockfile. If the existing project has a sound equivalent stack, document an adaptation rather than performing an unnecessary rewrite.</w:t>
      </w:r>
    </w:p>
    <w:p>
      <w:r>
        <w:t>Use a maintained authentication library or approved identity service that supports secure server sessions, recovery and MFA. Do not create a home made identity protocol. Never persist access secrets in localStorage. Browser sessions must use Secure, HttpOnly, appropriately scoped SameSite cookies, with CSRF protection for state changing requests.</w:t>
      </w:r>
    </w:p>
    <w:p>
      <w:pPr>
        <w:pStyle w:val="Heading2"/>
      </w:pPr>
      <w:r>
        <w:t>Required environment contract</w:t>
      </w:r>
    </w:p>
    <w:p>
      <w:r>
        <w:t>Provide .env.example with placeholders for DATABASE_URL, REDIS_URL, S3_ENDPOINT, S3_REGION, S3_BUCKET_QUARANTINE, S3_BUCKET_PRIVATE, S3_ACCESS_KEY_ID, S3_SECRET_ACCESS_KEY, APP_ORIGIN, API_ORIGIN, SESSION_SECRET or chosen identity configuration, EMAIL_PROVIDER settings, SCANNER_HOST and SCANNER_PORT. Optional OCR settings remain disabled by default. Keep secrets server side and out of VITE variables, source control, logs and examples.</w:t>
      </w:r>
    </w:p>
    <w:p>
      <w:r>
        <w:t>Implement production validated configuration, typed health checks and readiness checks. Database, objects and scanner health are distinct. Scanner outage must not classify a file as clean. Use FEATURE_RESULT_COMPARISON=false and FEATURE_OCR=false by default. Feature flags must be server enforced and fail closed when missing or malformed.</w:t>
      </w:r>
    </w:p>
    <w:p>
      <w:pPr>
        <w:pStyle w:val="Heading2"/>
      </w:pPr>
      <w:r>
        <w:t>Milestone 1 exit</w:t>
      </w:r>
    </w:p>
    <w:p>
      <w:r>
        <w:t>A new developer can start local services, migrate the database, create fictional seed users, register and verify a patient, log in and log out. Authentication and basic owner access tests pass. Include scripts for dev, lint, typecheck, test, test:e2e, build, migrate and seed. Do not create a known default production administrator password.</w:t>
      </w:r>
    </w:p>
    <w:p>
      <w:r>
        <w:br w:type="page"/>
      </w:r>
    </w:p>
    <w:p>
      <w:pPr>
        <w:pStyle w:val="Heading1"/>
      </w:pPr>
      <w:r>
        <w:t>2 Identity policy and data model</w:t>
      </w:r>
    </w:p>
    <w:p>
      <w:r>
        <w:t>Implement patient, practitioner, facility contributor, facility manager, verifier, support and security administrator roles. The same user may have patient and practitioner profiles, but modes do not create implicit permissions. Patients own their data; practitioners access only active named grants; facility staff access only approved submission requests and their own organisation submissions. Support has no routine PHI access.</w:t>
      </w:r>
    </w:p>
    <w:p>
      <w:r>
        <w:t>Require verified current credentials and an MFA authenticated session for provider actions. Implement manual verification cases with reviewer, source, checked date, expiry and suspension. Do not fake regulator APIs or badges. Facility verification and staff membership are separate, and suspension takes effect at the next server policy check.</w:t>
      </w:r>
    </w:p>
    <w:p>
      <w:r>
        <w:t>Implement a shared deny by default authorisation function taking actor, patient, action, resource, organisation and current server time. Use it in every route, preview, file stream, search, export, job delivery and mutation. Verify ownership of nested resources and foreign keys. Health ID is a random platform scoped identifier and is never a password or government identity.</w:t>
      </w:r>
    </w:p>
    <w:p>
      <w:pPr>
        <w:pStyle w:val="Heading2"/>
      </w:pPr>
      <w:r>
        <w:t>Persist these entities</w:t>
      </w:r>
    </w:p>
    <w:p>
      <w:r>
        <w:t>Users, sessions, MFA factors, patient profiles, practitioners, organisations, memberships, verification cases, records, record versions, files, observations, reference intervals, evaluations, medications, allergies, conditions, encounters, procedures, immunizations, vitals, family history, grants, grant resources, claim tokens, submission requests, review notes, disputes, corrections, facilities, services, favourites, audit events, emergency profiles, notifications, export jobs, deletion requests and retention holds.</w:t>
      </w:r>
    </w:p>
    <w:p>
      <w:r>
        <w:t>Use UUID keys, explicit status enums, UTC timestamps, proper date fields and decimal types for results. Clinical rows carry patient_id. Preserve original units and text. Finalised clinical versions are immutable; amendments refer to superseded versions. Use optimistic concurrency and return 409 on conflicting edits. Index patient/date, recipient/expiry, organisation/status and audit/time. Pagination defaults to 20 and caps at 100.</w:t>
      </w:r>
    </w:p>
    <w:p>
      <w:pPr>
        <w:pStyle w:val="Heading2"/>
      </w:pPr>
      <w:r>
        <w:t>Milestone 2 exit</w:t>
      </w:r>
    </w:p>
    <w:p>
      <w:r>
        <w:t>Tests with two patients, two organisations and multiple provider states prove there is no cross patient or cross facility access through IDs, nested rows, filters, search counts or file routes. Pending and suspended providers are denied. Create a permission matrix in docs and map each permission to tests.</w:t>
      </w:r>
    </w:p>
    <w:p>
      <w:r>
        <w:br w:type="page"/>
      </w:r>
    </w:p>
    <w:p>
      <w:pPr>
        <w:pStyle w:val="Heading1"/>
      </w:pPr>
      <w:r>
        <w:t>3 Patient records upload and interface</w:t>
      </w:r>
    </w:p>
    <w:p>
      <w:r>
        <w:t>Build signup, verification, login, recovery, Home, Records, record detail, health summary, Sharing, Facilities, Profile and privacy settings. Use mobile bottom navigation and a desktop sidebar. Use white, green and black with labelled amber and red states; colour never carries meaning alone. Add empty, pending, loading, retry and error states. Do not display a health score or a declaration that the patient is healthy.</w:t>
      </w:r>
    </w:p>
    <w:p>
      <w:r>
        <w:t>Medical history includes medications, allergies, conditions, visits, surgery or procedures, vaccination, vitals and family history. Each item records source and confirmation status. Distinguish unknown, none reported and confirmed absence. Self reported blood group and genotype retain source labels. Date of birth and all nonessential fields are optional.</w:t>
      </w:r>
    </w:p>
    <w:p>
      <w:r>
        <w:t>Build a quarantine upload pipeline for PDF, JPEG and PNG. Enforce 10 MB per file, 5 files per batch and a configurable 500 MB soft quota. Validate signature, detected MIME, dimensions, PDF page count and structure. Reject encrypted PDFs, active content and unsupported types. Keep files pending until malware scanning succeeds. Use private storage and no public buckets.</w:t>
      </w:r>
    </w:p>
    <w:p>
      <w:r>
        <w:t>Generate sanitised previews in a sandboxed worker; keep originals private and immutable. Store checksums, processing status, source type and versions. Upload completion must be idempotent. Abandoned quarantine files expire after 24 hours. Failed processing has a visible status and controlled retry. Do not store persistent browser upload drafts with health data.</w:t>
      </w:r>
    </w:p>
    <w:p>
      <w:r>
        <w:t>Authenticated content routes stream authorised files through the API with Cache Control no store and safe content headers. Recheck patient and grant policy before serving content. Avoid long lived presigned download links that continue working after consent revocation. Never reveal bucket object keys to unauthorised users.</w:t>
      </w:r>
    </w:p>
    <w:p>
      <w:pPr>
        <w:pStyle w:val="Heading2"/>
      </w:pPr>
      <w:r>
        <w:t>Milestone 3 exit</w:t>
      </w:r>
    </w:p>
    <w:p>
      <w:r>
        <w:t>A patient uploads a fictional report, previews it, filters records and maintains a history item across reloads. Another patient cannot see any associated file or metadata. Malicious, oversized, corrupt, mislabeled and unscanned fixtures cannot become available. Real scanner integration or the explicit fail closed mock status is documented.</w:t>
      </w:r>
    </w:p>
    <w:p>
      <w:r>
        <w:br w:type="page"/>
      </w:r>
    </w:p>
    <w:p>
      <w:pPr>
        <w:pStyle w:val="Heading1"/>
      </w:pPr>
      <w:r>
        <w:t>4 Sharing provider access and submissions</w:t>
      </w:r>
    </w:p>
    <w:p>
      <w:r>
        <w:t>Build a named recipient sharing flow with exact resources, permitted actions, purpose and expiry. Default to selected existing records, view only, for 24 hours; offer 1 hour, 24 hours and 7 days. Future category updates require explicit selection. A QR uses a short lived high entropy single use token stored only as a hash. Claim requires the intended verified practitioner account and MFA. No anonymous bearer access to full records.</w:t>
      </w:r>
    </w:p>
    <w:p>
      <w:r>
        <w:t>Active grants are checked on every request against server time, revocation, recipient, resource scope and provider status. Revocation immediately blocks subsequent requests. Recheck exports before completion and delivery; terminate streams when revocation is detected where technically possible. Explain that already delivered bytes or screenshots cannot be recalled.</w:t>
      </w:r>
    </w:p>
    <w:p>
      <w:r>
        <w:t>Provider portal lists only authorised patients. Show source, sample date, versions and unresolved information. Append review notes only with review scope; record author identity and the exact reviewed version. Clinical review never changes upload provenance. An amended record shows that the old review applied to an earlier version.</w:t>
      </w:r>
    </w:p>
    <w:p>
      <w:r>
        <w:t>Facility submission needs a patient approved named organisation request with category and expiry. ID entry provides at most a masked identity preview under rate limiting. Staff create drafts and finalise only with active membership and verified organisation. Finalised reports cannot be edited in place. Amendments preserve originals and reasons; disputes block derived assessment. Facility upload permission does not grant access to the patient timeline.</w:t>
      </w:r>
    </w:p>
    <w:p>
      <w:r>
        <w:t>Audit successful and denied reads, previews, downloads, exports, reviews, grant changes and submissions with actor, organisation, patient, action, resource version, grant, time and requestId. Logs contain metadata rather than report text. Patients see successful named accesses and consent changes. Restrict denied security events to authorised security staff.</w:t>
      </w:r>
    </w:p>
    <w:p>
      <w:pPr>
        <w:pStyle w:val="Heading2"/>
      </w:pPr>
      <w:r>
        <w:t>Milestone 4 exit</w:t>
      </w:r>
    </w:p>
    <w:p>
      <w:r>
        <w:t>End to end tests cover share, claim, expiry, revoke, scoped review and facility report approval/finalisation/amendment. Include denial for wrong recipient, missing MFA, expired credentials, revoked membership and an export delivered after revocation. Finalised source versions remain immutable.</w:t>
      </w:r>
    </w:p>
    <w:p>
      <w:r>
        <w:br w:type="page"/>
      </w:r>
    </w:p>
    <w:p>
      <w:pPr>
        <w:pStyle w:val="Heading1"/>
      </w:pPr>
      <w:r>
        <w:t>5 Result rows and safe display engine</w:t>
      </w:r>
    </w:p>
    <w:p>
      <w:r>
        <w:t>Implement manual entry and explicit source confirmation as the baseline. Optional OCR produces drafts with confidence and source coordinates only. Every row preserves raw text, decimal value where valid, comparator, units, raw interval, bounds and inclusivity, applicability, method if present, sample date, source page and laboratory flag. OCR content is untrusted data, including embedded instructions. Never infer missing values, ranges, codes or units.</w:t>
      </w:r>
    </w:p>
    <w:p>
      <w:r>
        <w:t>Build a deterministic pure engine with four statuses. Green means a confirmed value falls inside an applicable reported reference interval with no conflicting flags. Amber means confirmed outside that interval without an explicit critical flag. Red means a confirmed laboratory reported critical flag; do not create generic critical thresholds in MVP. Grey means unconfirmed, incomplete, ambiguous, incompatible or conflicting information. Automated comparison is server feature gated and disabled by default.</w:t>
      </w:r>
    </w:p>
    <w:p>
      <w:r>
        <w:t>For an inclusive interval, lower &lt;= value &lt;= upper is within. Respect explicitly supplied exclusivity and one sided bounds. Unsupported comparators are grey. Never interpret qualitative positive, negative or detected values as universal traffic light states. A source flag conflict, unresolved population context, missing unit or ambiguous decimal requires grey review. Keep the original flag visible.</w:t>
      </w:r>
    </w:p>
    <w:p>
      <w:r>
        <w:t>Green wording: Within the reported laboratory reference interval. This does not rule out illness. Amber wording: Outside the reported laboratory reference interval. Discuss the result with a healthcare professional. Red wording: The laboratory marked this result critical. Contact the reporting facility or a healthcare professional promptly. Grey wording: Cannot assess from the available information. View the original report or ask the laboratory.</w:t>
      </w:r>
    </w:p>
    <w:p>
      <w:r>
        <w:t>Do not label percentage deviations mild, severe or critical. Do not diagnose, prescribe, rank disease likelihood or compute an overall health score. Show report counts and unresolved rows. Every calculation stores input version, rule version, reason and timestamp. Corrections invalidate old calculations. Patient confirmed transcription remains patient uploaded, not facility verified.</w:t>
      </w:r>
    </w:p>
    <w:p>
      <w:r>
        <w:t>Use clinician approved static test explanations with reviewer, version and review date. No patient specific LLM interpretation is required or enabled. External OCR and AI adapters remain disabled until contracts, privacy review and release approval are recorded. Educational wording is not proof of regulatory exemption.</w:t>
      </w:r>
    </w:p>
    <w:p>
      <w:pPr>
        <w:pStyle w:val="Heading2"/>
      </w:pPr>
      <w:r>
        <w:t>Milestone 5 exit</w:t>
      </w:r>
    </w:p>
    <w:p>
      <w:r>
        <w:t>Tests cover exact interval boundaries, one sided ranges, missing units, unknown context, qualifiers, qualitative text, critical flags, flag conflicts, correction versions and feature flag off. Assert no draft becomes a confirmed coloured result. Include synthetic fixtures only; do not publish example ranges as universal clinical guidance.</w:t>
      </w:r>
    </w:p>
    <w:p>
      <w:r>
        <w:br w:type="page"/>
      </w:r>
    </w:p>
    <w:p>
      <w:pPr>
        <w:pStyle w:val="Heading1"/>
      </w:pPr>
      <w:r>
        <w:t>6 Facilities emergency profile and PWA</w:t>
      </w:r>
    </w:p>
    <w:p>
      <w:r>
        <w:t>Build a managed directory with facility type, state, city, coordinates, contacts, services, hours where verified, source, last checked date and credential status. Use clearly fictional development facilities. In production, unverified listings cannot carry verified badges. No invented partnerships, accreditation or live availability.</w:t>
      </w:r>
    </w:p>
    <w:p>
      <w:r>
        <w:t>Near me requires optional location permission; city and state search work without it. Rank by approximate straight line distance and label that method. Never describe a facility as the best or medically suitable purely because it is nearest. Favourites persist. External maps receive only destination and necessary navigation location, no test names or patient history.</w:t>
      </w:r>
    </w:p>
    <w:p>
      <w:r>
        <w:t>Emergency publishing is off by default. Require field by field selection and public preview. Use a separate high entropy revocable public token, not Health ID. Minimal profile contains only selected summary fields and source/updated labels, never documents or the full timeline. Warn before publication that anyone with a copied QR can see the selected information. Implement disable and rotate, noindex, nofollow, no referrer, no trackers and no store headers. Anonymous views cannot be described as named doctor accesses.</w:t>
      </w:r>
    </w:p>
    <w:p>
      <w:r>
        <w:t>Make the PWA installable with manifest, icons and browser appropriate instructions. Cache only an explicit allowlist of public static assets and a generic offline page. All authenticated responses, medical files, API data, exports, tokens and emergency pages are network only. No PHI or credentials in localStorage, IndexedDB or service worker caches. Clear client memory and unexpected user caches on logout and account switching.</w:t>
      </w:r>
    </w:p>
    <w:p>
      <w:r>
        <w:t>Offline MVP shows reconnect guidance, not historical medical content. Offline emergency data is deferred. Notifications are opt in and generic, with no test names or values on the lock screen. Implement an in app inbox even if push support is unavailable.</w:t>
      </w:r>
    </w:p>
    <w:p>
      <w:pPr>
        <w:pStyle w:val="Heading2"/>
      </w:pPr>
      <w:r>
        <w:t>Milestone 6 exit</w:t>
      </w:r>
    </w:p>
    <w:p>
      <w:r>
        <w:t>Playwright checks 360 px mobile layout, keyboard navigation, clear text status labels, installation prerequisites, offline behaviour, logout, browser back, account switching and cache contents. Emergency publish requires consent, disabled tokens stop working, and rotation invalidates the old QR.</w:t>
      </w:r>
    </w:p>
    <w:p>
      <w:r>
        <w:br w:type="page"/>
      </w:r>
    </w:p>
    <w:p>
      <w:pPr>
        <w:pStyle w:val="Heading1"/>
      </w:pPr>
      <w:r>
        <w:t>7 Exports operations and final delivery</w:t>
      </w:r>
    </w:p>
    <w:p>
      <w:r>
        <w:t>Build reauthenticated patient exports with originals, provenance, readable summary and structured JSON. Add a supported FHIR R4 collection Bundle mapping with Patient, Observation, DiagnosticReport, DocumentReference, MedicationStatement, Condition, AllergyIntolerance, Immunization, Encounter, Procedure, FamilyMemberHistory, Practitioner and Organization where applicable. Do not invent codes or claim full FHIR certification. Validate references and document unsupported mappings.</w:t>
      </w:r>
    </w:p>
    <w:p>
      <w:r>
        <w:t>Export downloads are private, audited and expire after 24 hours. Deletion requests revoke access and track recovery period, retention holds, purge results and completion. Implement configurable proposed 30 day recovery before eligible purge. Preserve legally held content under a documented exception, and use a deletion ledger after backup restore. Final retention periods need privacy and legal approval before real data.</w:t>
      </w:r>
    </w:p>
    <w:p>
      <w:r>
        <w:t>Add structured redacted logs, metrics, health endpoints, job retry limits and operator alerts. Fail closed for privileged access and exports if the audit write fails. Document scanner outage, object outage, failed export and database restore handling. Provide encrypted backup guidance and a tested restore procedure; proposed pilot targets are 24 hour RPO and 8 hour RTO.</w:t>
      </w:r>
    </w:p>
    <w:p>
      <w:pPr>
        <w:pStyle w:val="Heading2"/>
      </w:pPr>
      <w:r>
        <w:t>Required API behaviour</w:t>
      </w:r>
    </w:p>
    <w:p>
      <w:r>
        <w:t>Provide /v1 routes for auth, me, sessions, patient profile/history, uploads, records/files, observations/confirmation, grants/claim/revoke, provider patients/reviews, submission requests, facility reports/finalise/amend, directory/favourites, patient audit, exports, deletion and emergency publish/rotate/disable. Add privileged verification and suspension routes. Generate OpenAPI contracts. Validate inputs and responses with Zod. Return safe structured errors, cursor pagination and actor scoped idempotency.</w:t>
      </w:r>
    </w:p>
    <w:p>
      <w:pPr>
        <w:pStyle w:val="Heading2"/>
      </w:pPr>
      <w:r>
        <w:t>Verification and handover</w:t>
      </w:r>
    </w:p>
    <w:p>
      <w:r>
        <w:t>Run lint, typecheck, meaningful unit and integration tests, browser tests and production build. Fix failures before claiming completion. Report any check that could not run with its actual reason. Provide README setup, .env.example, migrations, fictional seed fixtures, OpenAPI, architecture notes, permission matrix, threat model, result rule specification, FHIR mapping, backup and incident runbooks, retention configuration, accessibility checks and release checklist.</w:t>
      </w:r>
    </w:p>
    <w:p>
      <w:r>
        <w:t>Provide a traceability file mapping the MVP requirements to code, tests and manual release evidence. List every mock, disabled integration and unresolved blocker. Summarise what changed, how to run it and exactly what was tested. Do not label the system production ready merely because builds pass. Clinical, privacy, security and regulatory release decisions remain independent named approvals.</w:t>
      </w:r>
    </w:p>
    <w:p>
      <w:pPr>
        <w:pStyle w:val="Heading2"/>
      </w:pPr>
      <w:r>
        <w:t>Master prompt ends</w:t>
      </w:r>
    </w:p>
    <w:p>
      <w:r>
        <w:t>The generated application should be reviewable with synthetic data. Before any real patient pilot, confirm the intended use, privacy assessment, practitioner and facility verification, processor contracts, retention rules, independent security review and the authorised state of the result feature flag.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Netrue Limited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Patient controlled medical records PWA for Nigeria</dc:subject>
  <dc:creator>Netrue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