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Records PWA MVP Specification</w:t>
      </w:r>
    </w:p>
    <w:p>
      <w:pPr>
        <w:pStyle w:val="Subtitle"/>
      </w:pPr>
      <w:r>
        <w:t>Product requirements and implementation architecture for Nigeria</w:t>
      </w:r>
    </w:p>
    <w:p>
      <w:r>
        <w:t>Prepared for Jeremiah Alaba Juba and Netrue Limited | Version 1.0 | 7 October 2026</w:t>
      </w:r>
    </w:p>
    <w:p>
      <w:r>
        <w:t>Build an installable, mobile first personal health record that allows adults to store medical documents, organise their health history, find facilities and grant named healthcare professionals temporary access. Begin with a controlled pilot rather than a national medical registry.</w:t>
      </w:r>
    </w:p>
    <w:p>
      <w:r>
        <w:t>This specification defines a working MVP, its database and API boundaries, privacy controls, result display rules, operational requirements and release tests. The companion Codex Build Prompt translates these requirements into a staged engineering assignment.</w:t>
      </w:r>
    </w:p>
    <w:p>
      <w:pPr>
        <w:pStyle w:val="Heading2"/>
      </w:pPr>
      <w:r>
        <w:t>Recommended launch decision</w:t>
      </w:r>
    </w:p>
    <w:p>
      <w:r>
        <w:t>Deliver records, provider sharing and facility discovery first. Implement result highlighting behind a server controlled feature flag and release it only after clinical and regulatory review. Store laboratory reported ranges and flags even when highlighting is disabled. No AI diagnosis, treatment recommendation or automated emergency triage is included.</w:t>
      </w:r>
    </w:p>
    <w:p>
      <w:pPr>
        <w:pStyle w:val="Heading2"/>
      </w:pPr>
      <w:r>
        <w:t>Working identity and assumptions</w:t>
      </w:r>
    </w:p>
    <w:p>
      <w:pPr>
        <w:pStyle w:val="ListBullet"/>
      </w:pPr>
      <w:r>
        <w:t>Working product name: Netrue Health. Confirm the name, trademark and domain before public launch. The name is a placeholder, not an existing registered health service.</w:t>
      </w:r>
    </w:p>
    <w:p>
      <w:pPr>
        <w:pStyle w:val="ListBullet"/>
      </w:pPr>
      <w:r>
        <w:t>Initial users: adults aged 18 or older in Nigeria. Dependants, guardianship and proxy accounts are deferred. The platform identifier is an internal Health ID, not a government identifier.</w:t>
      </w:r>
    </w:p>
    <w:p>
      <w:pPr>
        <w:pStyle w:val="ListBullet"/>
      </w:pPr>
      <w:r>
        <w:t>Pilot location: Akure and selected partner facilities. Public expansion depends on validated facility data, support capacity and signed operational arrangements.</w:t>
      </w:r>
    </w:p>
    <w:p>
      <w:pPr>
        <w:pStyle w:val="ListBullet"/>
      </w:pPr>
      <w:r>
        <w:t>Default interface: English, Africa/Lagos display time, low bandwidth mobile use. Store timestamps in UTC. Dates of birth and sample dates without times remain date values.</w:t>
      </w:r>
    </w:p>
    <w:p>
      <w:pPr>
        <w:pStyle w:val="Heading2"/>
      </w:pPr>
      <w:r>
        <w:t>Reading guide</w:t>
      </w:r>
    </w:p>
    <w:p>
      <w:r>
        <w:t>Sections 1 to 5 cover scope and workflows; 6 to 9 define clinical display and access controls; 10 to 14 define engineering contracts; 15 to 18 cover operations, delivery, validation and release decisions. All numerical limits and schedules below are proposed engineering targets, not statutory requirements.</w:t>
      </w:r>
    </w:p>
    <w:p>
      <w:r>
        <w:br w:type="page"/>
      </w:r>
    </w:p>
    <w:p>
      <w:pPr>
        <w:pStyle w:val="Heading1"/>
      </w:pPr>
      <w:r>
        <w:t>1 Product purpose and measurable outcomes</w:t>
      </w:r>
    </w:p>
    <w:p>
      <w:r>
        <w:t>Medical records can be spread across paper documents and individual facilities. The MVP provides an account controlled by the patient, retaining originals and showing where each item came from. A provider can consult the shared history while making independent clinical decisions.</w:t>
      </w:r>
    </w:p>
    <w:p>
      <w:pPr>
        <w:pStyle w:val="Heading2"/>
      </w:pPr>
      <w:r>
        <w:t>Primary users and value</w:t>
      </w:r>
    </w:p>
    <w:p>
      <w:pPr>
        <w:pStyle w:val="ListBullet"/>
      </w:pPr>
      <w:r>
        <w:t>Patient: retrieve documents during a visit, understand the supplied values and reference intervals, manage sharing and see access activity.</w:t>
      </w:r>
    </w:p>
    <w:p>
      <w:pPr>
        <w:pStyle w:val="ListBullet"/>
      </w:pPr>
      <w:r>
        <w:t>Verified practitioner: inspect authorised documents and timeline, identify their source, and append an attributable review without changing the original.</w:t>
      </w:r>
    </w:p>
    <w:p>
      <w:pPr>
        <w:pStyle w:val="ListBullet"/>
      </w:pPr>
      <w:r>
        <w:t>Facility staff: submit a report to the correct consenting patient, manage their own submissions and publish corrections.</w:t>
      </w:r>
    </w:p>
    <w:p>
      <w:pPr>
        <w:pStyle w:val="ListBullet"/>
      </w:pPr>
      <w:r>
        <w:t>Verification administrator: review practitioner and facility evidence, maintain directory entries and suspend unsafe access. Support staff receive operational metadata rather than routine medical content.</w:t>
      </w:r>
    </w:p>
    <w:p>
      <w:pPr>
        <w:pStyle w:val="Heading2"/>
      </w:pPr>
      <w:r>
        <w:t>Pilot success criteria</w:t>
      </w:r>
    </w:p>
    <w:tbl>
      <w:tblPr>
        <w:tblW w:type="auto" w:w="0"/>
        <w:tblLayout w:type="fixed"/>
        <w:tblLook w:firstColumn="1" w:firstRow="1" w:lastColumn="0" w:lastRow="0" w:noHBand="0" w:noVBand="1" w:val="04A0"/>
      </w:tblPr>
      <w:tblGrid>
        <w:gridCol w:w="2880"/>
        <w:gridCol w:w="7056"/>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Measure</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Proposed target</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Upload completion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At least 90% of attempted supported uploads complete during pilot testing.</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Patient retrieval</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At least 90% of test users find a specified result within 60 seconds.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Sharing comprehension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At least 90% correctly identify recipient, documents and expiry before confirming.</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Access isolation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No successful cross patient or cross facility access in the release test suite.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Clinical display</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Every displayed flag can be traced to a confirmed source and versioned rule.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Trust and adoption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Track 30 day returning users, consent revocations, verification delays and support complaints.</w:t>
            </w:r>
          </w:p>
        </w:tc>
      </w:tr>
    </w:tbl>
    <w:p>
      <w:pPr>
        <w:spacing w:after="0"/>
      </w:pPr>
    </w:p>
    <w:p>
      <w:r>
        <w:t>These are release and learning targets. They do not establish clinical effectiveness or predict national adoption. Collect usability feedback without recording medical details in analytics.</w:t>
      </w:r>
    </w:p>
    <w:p>
      <w:pPr>
        <w:pStyle w:val="Heading2"/>
      </w:pPr>
      <w:r>
        <w:t>Business boundary</w:t>
      </w:r>
    </w:p>
    <w:p>
      <w:r>
        <w:t>Provide a patient service through Netrue Limited under documented contractual roles. Evaluate subscription or facility service pricing after the pilot. Do not sell patient information, use targeted medical advertising, or enrol records into model training in version 1.</w:t>
      </w:r>
    </w:p>
    <w:p>
      <w:r>
        <w:br w:type="page"/>
      </w:r>
    </w:p>
    <w:p>
      <w:pPr>
        <w:pStyle w:val="Heading1"/>
      </w:pPr>
      <w:r>
        <w:t>2 MVP scope and release boundaries</w:t>
      </w:r>
    </w:p>
    <w:tbl>
      <w:tblPr>
        <w:tblW w:type="auto" w:w="0"/>
        <w:tblLayout w:type="fixed"/>
        <w:tblLook w:firstColumn="1" w:firstRow="1" w:lastColumn="0" w:lastRow="0" w:noHBand="0" w:noVBand="1" w:val="04A0"/>
      </w:tblPr>
      <w:tblGrid>
        <w:gridCol w:w="2376"/>
        <w:gridCol w:w="7560"/>
      </w:tblGrid>
      <w:tr>
        <w:trPr>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Capability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Version 1 decision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Accounts and profile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Email signup, verification, login, recovery, patient health summary and internal Health ID.</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Medical documents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PDF, JPEG and PNG upload; categorisation; preview; search; version history; export and deletion request.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Structured history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Medications, allergies, conditions, visits, procedures, vaccinations, vitals and family history.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Results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Manual transcription and human confirmation. Optional OCR adapter produces drafts only. Display approved lab range comparisons behind a feature flag.</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Provider access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Verified practitioner portal; named recipient grants; expiry and revocation; access logs; append only review notes.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Facility portal</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Verified organisation membership; patient approved report submission; immutable final reports and corrections.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Discovery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Managed hospital and laboratory directory, filters, location permission, favourites and directions.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Emergency profile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Optional minimal public profile with explicit field selection, preview, rotation and disable controls.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PWA</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Installable shell and offline information screen. No medical records cached by default.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Administration</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Verification, directory management, security monitoring and restricted support workflows.</w:t>
            </w:r>
          </w:p>
        </w:tc>
      </w:tr>
    </w:tbl>
    <w:p>
      <w:pPr>
        <w:spacing w:after="0"/>
      </w:pPr>
    </w:p>
    <w:p>
      <w:pPr>
        <w:pStyle w:val="Heading2"/>
      </w:pPr>
      <w:r>
        <w:t>Deferred capabilities</w:t>
      </w:r>
    </w:p>
    <w:p>
      <w:r>
        <w:t>Defer autonomous interpretation, risk scoring, diagnosis, prescribing, symptom triage, teleconsultations, appointments, payments, insurance claims, wearables, national registry synchronisation and bulk EHR integrations. Defer children and guardian access until consent and safeguarding workflows are designed. DICOM imaging viewers and large scan archives are outside MVP; accept the written imaging report instead.</w:t>
      </w:r>
    </w:p>
    <w:p>
      <w:pPr>
        <w:pStyle w:val="Heading2"/>
      </w:pPr>
      <w:r>
        <w:t>Release modes</w:t>
      </w:r>
    </w:p>
    <w:p>
      <w:r>
        <w:t>Development uses fictional users and clearly labelled synthetic reports. Pilot uses approved real participants and controlled facilities after privacy and security readiness. Production additionally needs operational ownership, verified integrations and written clinical and regulatory decisions. A polished prototype is not a production health service.</w:t>
      </w:r>
    </w:p>
    <w:p>
      <w:r>
        <w:br w:type="page"/>
      </w:r>
    </w:p>
    <w:p>
      <w:pPr>
        <w:pStyle w:val="Heading1"/>
      </w:pPr>
      <w:r>
        <w:t>3 Roles and authorisation model</w:t>
      </w:r>
    </w:p>
    <w:p>
      <w:r>
        <w:t>Use server enforced roles together with patient ownership, facility membership and explicit grants. A role alone never authorises access to another patient. Users may have both patient and practitioner identities; switching interface mode does not bypass policy.</w:t>
      </w:r>
    </w:p>
    <w:tbl>
      <w:tblPr>
        <w:tblW w:type="auto" w:w="0"/>
        <w:tblLayout w:type="fixed"/>
        <w:tblLook w:firstColumn="1" w:firstRow="1" w:lastColumn="0" w:lastRow="0" w:noHBand="0" w:noVBand="1" w:val="04A0"/>
      </w:tblPr>
      <w:tblGrid>
        <w:gridCol w:w="1944"/>
        <w:gridCol w:w="4104"/>
        <w:gridCol w:w="3888"/>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Actor</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Permitted access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Restriction</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Patient</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Own documents, profile, grants, exports and audit view.</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Cannot label uploads facility verified or impersonate a clinician.</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Practitioner</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Selected resources in an active grant; append a permitted review.</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Verified status and MFA required; no global patient browsing.</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Facility contributor</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Approved submission request and their organisation’s reports.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Cannot browse the patient timeline merely because a report was submitted.</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Facility manager</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Staff invitations, membership and organisation metadata.</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No automatic access to medical records.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Verifier</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Registration evidence and directory credentials.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Evidence approval grants no medical access.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Support</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Ticket and account operational metadata.</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No default document preview or result search.</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Security administrator</w:t>
            </w:r>
          </w:p>
        </w:tc>
        <w:tc>
          <w:tcPr>
            <w:tcW w:type="dxa" w:w="41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Access events, sessions and suspensions.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Exceptional content access requires separate documented authorisation.</w:t>
            </w:r>
          </w:p>
        </w:tc>
      </w:tr>
    </w:tbl>
    <w:p>
      <w:pPr>
        <w:spacing w:after="0"/>
      </w:pPr>
    </w:p>
    <w:p>
      <w:pPr>
        <w:pStyle w:val="Heading2"/>
      </w:pPr>
      <w:r>
        <w:t>Provider onboarding</w:t>
      </w:r>
    </w:p>
    <w:p>
      <w:r>
        <w:t>A practitioner submits identity and registration evidence, declares organisation affiliations and enrols MFA. A verifier records source, date, reviewer and outcome of credential checks. Never invent automated MDCN or MLSCN integration. Use manual verification until an authorised service exists. Apply a proposed annual recheck and earlier expiry when supplied evidence expires.</w:t>
      </w:r>
    </w:p>
    <w:p>
      <w:r>
        <w:t>A facility is verified separately from its staff. Membership invitations require acceptance, and only active staff of an active verified organisation may finalise reports. Suspension or credential expiry blocks provider access immediately, even if a patient grant remains active.</w:t>
      </w:r>
    </w:p>
    <w:p>
      <w:pPr>
        <w:pStyle w:val="Heading2"/>
      </w:pPr>
      <w:r>
        <w:t>Permission decisions</w:t>
      </w:r>
    </w:p>
    <w:p>
      <w:r>
        <w:t>Centralise an authorisation function that receives actor, patient, action, resource, organisation and current time. Apply it to reads, search counts, downloads, previews, mutation endpoints, background jobs and exports. Unknown cases are denied. A Health ID locates a consent request; it never acts as a password.</w:t>
      </w:r>
    </w:p>
    <w:p>
      <w:r>
        <w:br w:type="page"/>
      </w:r>
    </w:p>
    <w:p>
      <w:pPr>
        <w:pStyle w:val="Heading1"/>
      </w:pPr>
      <w:r>
        <w:t>4 Patient screens and everyday workflows</w:t>
      </w:r>
    </w:p>
    <w:p>
      <w:pPr>
        <w:pStyle w:val="Heading2"/>
      </w:pPr>
      <w:r>
        <w:t>Navigation and interface</w:t>
      </w:r>
    </w:p>
    <w:p>
      <w:r>
        <w:t>Use a mobile bottom navigation with Home, Records, Facilities and Profile. Keep Upload and Share accessible from Home and Records. Desktop adds a sidebar. Use white backgrounds, green primary actions, black text and labelled amber or red result states; status must remain understandable without colour. Avoid charts that imply an overall health score.</w:t>
      </w:r>
    </w:p>
    <w:tbl>
      <w:tblPr>
        <w:tblW w:type="auto" w:w="0"/>
        <w:tblLayout w:type="fixed"/>
        <w:tblLook w:firstColumn="1" w:firstRow="1" w:lastColumn="0" w:lastRow="0" w:noHBand="0" w:noVBand="1" w:val="04A0"/>
      </w:tblPr>
      <w:tblGrid>
        <w:gridCol w:w="2088"/>
        <w:gridCol w:w="7848"/>
      </w:tblGrid>
      <w:tr>
        <w:trPr>
          <w:tblHeader/>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Screen</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Required behaviour</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Signup and login</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Email verification, clear password requirements, reset flow, terms and privacy notice acknowledgement. Optional phone number is not a recovery secret.</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Home</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Recent records, profile completeness, active shares and a visible upload button. Avoid declaring the patient healthy.</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Records</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Chronological list, category, source badge, facility and date filters; paginated search; empty and error states.</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Record detail</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Original preview, extracted or entered data, source provenance, review notes, previous versions and share action.</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Health summary</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Editable patient reported history; distinguish unknown, none reported and confirmed absence.</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Sharing</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Recipient identity, selected resources, permitted actions, expiry, history and revoke control.</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Facilities</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Search by state or city, optional near me, service filters, favourites, verification status and source freshness.</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Profile and privacy</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Sessions, MFA option, emergency fields, export, correction requests, account deletion and consent history.</w:t>
            </w:r>
          </w:p>
        </w:tc>
      </w:tr>
    </w:tbl>
    <w:p>
      <w:pPr>
        <w:spacing w:after="0"/>
      </w:pPr>
    </w:p>
    <w:p>
      <w:pPr>
        <w:pStyle w:val="Heading2"/>
      </w:pPr>
      <w:r>
        <w:t>Upload flow</w:t>
      </w:r>
    </w:p>
    <w:p>
      <w:r>
        <w:t>Select files and category, capture report date and source, upload to quarantine and show progress. After validation, allow preview and optional structured entry. Confirm values against the original before any derived display. Save the original with a patient uploaded badge. Network failure retains no persistent medical draft in the browser; allow explicit retry after reconnection.</w:t>
      </w:r>
    </w:p>
    <w:p>
      <w:pPr>
        <w:pStyle w:val="Heading2"/>
      </w:pPr>
      <w:r>
        <w:t>Health summary data</w:t>
      </w:r>
    </w:p>
    <w:p>
      <w:r>
        <w:t>Collect only relevant optional fields. Blood group, genotype, medications and allergy statements carry source and confirmation dates. A blank allergy list means unknown, not no allergies. Self reported blood group must never be represented as sufficient for transfusion decisions. Show uncertain medication status and last updated dates.</w:t>
      </w:r>
    </w:p>
    <w:p>
      <w:r>
        <w:br w:type="page"/>
      </w:r>
    </w:p>
    <w:p>
      <w:pPr>
        <w:pStyle w:val="Heading1"/>
      </w:pPr>
      <w:r>
        <w:t>5 Practitioner and facility workflows</w:t>
      </w:r>
    </w:p>
    <w:p>
      <w:pPr>
        <w:pStyle w:val="Heading2"/>
      </w:pPr>
      <w:r>
        <w:t>Practitioner portal</w:t>
      </w:r>
    </w:p>
    <w:p>
      <w:r>
        <w:t>The portal lists patients who have active named grants to the signed in verified practitioner. Open a patient summary showing exactly the authorised categories and documents. Missing scope is displayed as unavailable, not inferred to be negative. Show source, sample date, report date, amendment status and confirmation status beside results.</w:t>
      </w:r>
    </w:p>
    <w:p>
      <w:r>
        <w:t>Review notes require author, credential identity, timestamp, linked record version and plain text. The clinician chooses whether to mark the specific version reviewed. This does not authenticate the originating lab. The note is a review of records, not a remote consultation or prescription. If a source changes, display the earlier review as applying to the previous version.</w:t>
      </w:r>
    </w:p>
    <w:p>
      <w:pPr>
        <w:pStyle w:val="Heading2"/>
      </w:pPr>
      <w:r>
        <w:t>Patient approved facility submission</w:t>
      </w:r>
    </w:p>
    <w:p>
      <w:pPr>
        <w:pStyle w:val="ListBullet"/>
      </w:pPr>
      <w:r>
        <w:t>Staff enter an internal Health ID or scan a request QR. Return only a masked identity preview after rate limiting; do not expose an address or timeline.</w:t>
      </w:r>
    </w:p>
    <w:p>
      <w:pPr>
        <w:pStyle w:val="ListBullet"/>
      </w:pPr>
      <w:r>
        <w:t>Patient signs in and approves a named facility submission request with category and expiry. Phone confirmation or ID possession alone does not authorise upload.</w:t>
      </w:r>
    </w:p>
    <w:p>
      <w:pPr>
        <w:pStyle w:val="ListBullet"/>
      </w:pPr>
      <w:r>
        <w:t>Staff create a draft, attach a report, enter test rows and reconcile the patient identity and sample details.</w:t>
      </w:r>
    </w:p>
    <w:p>
      <w:pPr>
        <w:pStyle w:val="ListBullet"/>
      </w:pPr>
      <w:r>
        <w:t>Finalisation requires active verified organisation membership and an explicit confirmation that the correct patient and report are selected. Record the submitting staff identity and organisation.</w:t>
      </w:r>
    </w:p>
    <w:p>
      <w:pPr>
        <w:pStyle w:val="ListBullet"/>
      </w:pPr>
      <w:r>
        <w:t>Patient receives a generic notification and can view the report, dispute the association or hide it from new shares. A dispute freezes derived interpretation until resolved.</w:t>
      </w:r>
    </w:p>
    <w:p>
      <w:pPr>
        <w:pStyle w:val="Heading2"/>
      </w:pPr>
      <w:r>
        <w:t>Corrections and cancellation</w:t>
      </w:r>
    </w:p>
    <w:p>
      <w:r>
        <w:t>Finalised facility reports cannot be silently overwritten. Publish an amended version with a reason and relation to the original. Preserve earlier versions and reviews, display the latest status and notify patients. Retract a misassigned report through a controlled incident workflow; do not automatically move medical information to a second patient.</w:t>
      </w:r>
    </w:p>
    <w:p>
      <w:pPr>
        <w:pStyle w:val="Heading2"/>
      </w:pPr>
      <w:r>
        <w:t>Trust labels</w:t>
      </w:r>
    </w:p>
    <w:p>
      <w:r>
        <w:t>Keep upload provenance, source authentication and clinical review as independent dimensions. A patient upload reviewed by a doctor remains patient uploaded. A facility submitted report means it arrived through an approved account; it is not proof that every result is accurate. Directory credential verification does not mean the platform accredits the quality of care.</w:t>
      </w:r>
    </w:p>
    <w:p>
      <w:r>
        <w:br w:type="page"/>
      </w:r>
    </w:p>
    <w:p>
      <w:pPr>
        <w:pStyle w:val="Heading1"/>
      </w:pPr>
      <w:r>
        <w:t>6 Results and clinical display rules</w:t>
      </w:r>
    </w:p>
    <w:p>
      <w:r>
        <w:t>The application explains the supplied result and its laboratory context. It does not infer diseases, prescribe treatment or determine that a person is safe. A reference interval is not a diagnostic threshold. Regulatory classification depends on intended use and actual function; educational wording or deterministic rules do not guarantee exemption.</w:t>
      </w:r>
    </w:p>
    <w:tbl>
      <w:tblPr>
        <w:tblW w:type="auto" w:w="0"/>
        <w:tblLayout w:type="fixed"/>
        <w:tblLook w:firstColumn="1" w:firstRow="1" w:lastColumn="0" w:lastRow="0" w:noHBand="0" w:noVBand="1" w:val="04A0"/>
      </w:tblPr>
      <w:tblGrid>
        <w:gridCol w:w="1008"/>
        <w:gridCol w:w="4608"/>
        <w:gridCol w:w="4320"/>
      </w:tblGrid>
      <w:tr>
        <w:trPr>
          <w:tblHeader/>
        </w:trPr>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Display</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Trigger</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Patient wording</w:t>
            </w:r>
          </w:p>
        </w:tc>
      </w:tr>
      <w:tr>
        <w:trPr>
          <w:cantSplit/>
        </w:trPr>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Green</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Confirmed value within an applicable reported interval; no conflict or critical flag.</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Within the reported laboratory reference interval. This does not rule out illness.</w:t>
            </w:r>
          </w:p>
        </w:tc>
      </w:tr>
      <w:tr>
        <w:trPr>
          <w:cantSplit/>
        </w:trPr>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Amber</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Confirmed value outside an applicable interval without a reported critical flag.</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Outside the reported laboratory reference interval. Discuss the result with a healthcare professional.</w:t>
            </w:r>
          </w:p>
        </w:tc>
      </w:tr>
      <w:tr>
        <w:trPr>
          <w:cantSplit/>
        </w:trPr>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Red</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Confirmed explicit critical flag from the report, or a future clinically approved critical rule with a documented regulatory decision.</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The laboratory marked this result critical. Contact the reporting facility or a healthcare professional promptly.</w:t>
            </w:r>
          </w:p>
        </w:tc>
      </w:tr>
      <w:tr>
        <w:trPr>
          <w:cantSplit/>
        </w:trPr>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Grey</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Missing, incompatible, unconfirmed or ambiguous value, units, range or context.</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Cannot assess from the available information. View the original report or ask the laboratory.</w:t>
            </w:r>
          </w:p>
        </w:tc>
      </w:tr>
    </w:tbl>
    <w:p>
      <w:pPr>
        <w:spacing w:after="0"/>
      </w:pPr>
    </w:p>
    <w:p>
      <w:pPr>
        <w:pStyle w:val="Heading2"/>
      </w:pPr>
      <w:r>
        <w:t>Required deterministic behaviour</w:t>
      </w:r>
    </w:p>
    <w:p>
      <w:pPr>
        <w:pStyle w:val="ListBullet"/>
      </w:pPr>
      <w:r>
        <w:t>Retain original value text, comparator, numeric decimal where valid, unit, reference text and bounds, population applicability, sample date, method if reported, source flag and source page. Never supply a guessed range.</w:t>
      </w:r>
    </w:p>
    <w:p>
      <w:pPr>
        <w:pStyle w:val="ListBullet"/>
      </w:pPr>
      <w:r>
        <w:t>For an inclusive numeric interval, green requires lower &lt;= value &lt;= upper. Honour explicit one sided bounds. Unsupported or ambiguous comparators remain grey.</w:t>
      </w:r>
    </w:p>
    <w:p>
      <w:pPr>
        <w:pStyle w:val="ListBullet"/>
      </w:pPr>
      <w:r>
        <w:t>Keep qualitative results such as positive, negative or detected as the original text. Do not map them automatically to green or red; negative can be clinically abnormal for some tests.</w:t>
      </w:r>
    </w:p>
    <w:p>
      <w:pPr>
        <w:pStyle w:val="ListBullet"/>
      </w:pPr>
      <w:r>
        <w:t>Use applicable ranges for age at sample collection, recorded sex context and pregnancy only when the source supports that choice. If required context is missing, show grey.</w:t>
      </w:r>
    </w:p>
    <w:p>
      <w:pPr>
        <w:pStyle w:val="ListBullet"/>
      </w:pPr>
      <w:r>
        <w:t>Critical flags override a routine comparison only after source confirmation. Conflicting source flags and computed results require review and grey assessment; retain the flag visibly.</w:t>
      </w:r>
    </w:p>
    <w:p>
      <w:pPr>
        <w:pStyle w:val="ListBullet"/>
      </w:pPr>
      <w:r>
        <w:t>Do not use percentage deviation to define mild, severe or critical results. Overall report display shows counts of each status and unresolved items, never a green healthy badge.</w:t>
      </w:r>
    </w:p>
    <w:p>
      <w:r>
        <w:t>Store the rule version, confirmed input version, actor, evaluation time and reason code. Automated display is disabled by default until an authorised release decision is documented. Store and show the laboratory’s original wording even when automated comparison is disabled.</w:t>
      </w:r>
    </w:p>
    <w:p>
      <w:r>
        <w:br w:type="page"/>
      </w:r>
    </w:p>
    <w:p>
      <w:pPr>
        <w:pStyle w:val="Heading1"/>
      </w:pPr>
      <w:r>
        <w:t>7 Transcription OCR and educational explanations</w:t>
      </w:r>
    </w:p>
    <w:p>
      <w:pPr>
        <w:pStyle w:val="Heading2"/>
      </w:pPr>
      <w:r>
        <w:t>Minimum release path</w:t>
      </w:r>
    </w:p>
    <w:p>
      <w:r>
        <w:t>Manual transcription is the required baseline. A patient or authorised facility contributor enters values beside the original document. A second review step requires explicit confirmation of each numeric value, decimal separator, unit, comparator and reference interval. Patient confirmation verifies transcription only; it does not turn the report into a verified facility document.</w:t>
      </w:r>
    </w:p>
    <w:p>
      <w:pPr>
        <w:pStyle w:val="Heading2"/>
      </w:pPr>
      <w:r>
        <w:t>Optional extraction adapter</w:t>
      </w:r>
    </w:p>
    <w:p>
      <w:r>
        <w:t>An OCR service may propose draft rows, confidence values and page coordinates. It must not publish facts or trigger green, amber or red comparisons automatically. Missing fields stay empty. Never silently normalise an ambiguous decimal, infer a range, translate a test into an unverified code or discard a qualifier such as less than.</w:t>
      </w:r>
    </w:p>
    <w:p>
      <w:r>
        <w:t>Treat all text inside uploaded documents as untrusted data. Embedded instructions must not change tools, prompts, permissions or processing policy. Do not send reports to an external AI or OCR provider until contracts, privacy review, retention settings and transfer arrangements are approved. The default local development path is manual entry with a synthetic OCR mock.</w:t>
      </w:r>
    </w:p>
    <w:p>
      <w:pPr>
        <w:pStyle w:val="Heading2"/>
      </w:pPr>
      <w:r>
        <w:t>Education content</w:t>
      </w:r>
    </w:p>
    <w:p>
      <w:r>
        <w:t>Use clinician approved static text explaining the purpose of a test, common limitations and why clinical context matters. Content has an author, reviewer, version and review date. Do not generate patient specific explanations with an LLM in MVP. Provide a facility contact and a share with clinician action, rather than a simulated doctor chat.</w:t>
      </w:r>
    </w:p>
    <w:p>
      <w:pPr>
        <w:pStyle w:val="Heading2"/>
      </w:pPr>
      <w:r>
        <w:t>Handling uncertainty and incidents</w:t>
      </w:r>
    </w:p>
    <w:p>
      <w:pPr>
        <w:pStyle w:val="ListBullet"/>
      </w:pPr>
      <w:r>
        <w:t>A wrong patient name, illegible report, inconsistent date or disputed submission prevents derived display. Let the user retain the document with a clear unresolved label.</w:t>
      </w:r>
    </w:p>
    <w:p>
      <w:pPr>
        <w:pStyle w:val="ListBullet"/>
      </w:pPr>
      <w:r>
        <w:t>Correction creates a new data version, invalidates previous calculations and prompts re-confirmation. Preserve the earlier values for audit.</w:t>
      </w:r>
    </w:p>
    <w:p>
      <w:pPr>
        <w:pStyle w:val="ListBullet"/>
      </w:pPr>
      <w:r>
        <w:t>Do not use the app as an emergency monitoring service. Display a clinician approved notice that people with urgent symptoms should seek immediate in person help. Validate local contact guidance before publishing.</w:t>
      </w:r>
    </w:p>
    <w:p>
      <w:pPr>
        <w:pStyle w:val="ListBullet"/>
      </w:pPr>
      <w:r>
        <w:t>Clinical governance maintains an issue register for wrong extraction, wrong units, misleading colours and delayed access. Any systematic safety failure disables the affected display feature.</w:t>
      </w:r>
    </w:p>
    <w:p>
      <w:r>
        <w:br w:type="page"/>
      </w:r>
    </w:p>
    <w:p>
      <w:pPr>
        <w:pStyle w:val="Heading1"/>
      </w:pPr>
      <w:r>
        <w:t>8 Consent sharing and access history</w:t>
      </w:r>
    </w:p>
    <w:p>
      <w:pPr>
        <w:pStyle w:val="Heading2"/>
      </w:pPr>
      <w:r>
        <w:t>Grant contract</w:t>
      </w:r>
    </w:p>
    <w:p>
      <w:r>
        <w:t>A share grant binds one patient to a named verified practitioner account. It records selected resource IDs or clearly described categories, a date range, permitted actions, purpose, expiry, patient confirmation and revocation timestamp. Default to selected existing records, view only, for 24 hours. Offer proposed 1 hour, 24 hour and 7 day durations. Including future records requires an explicit separate choice.</w:t>
      </w:r>
    </w:p>
    <w:p>
      <w:r>
        <w:t>A QR or link carries a high entropy one time claim token stored as a hash. It is not an anonymous bearer link to the full record. Recipient authentication, matching named identity, current credential verification and MFA are required to claim and use it. Tokens expire quickly and are invalidated on claim or revocation. Do not put names or medical details in the URL.</w:t>
      </w:r>
    </w:p>
    <w:p>
      <w:pPr>
        <w:pStyle w:val="Heading2"/>
      </w:pPr>
      <w:r>
        <w:t>Revocation guarantees and limits</w:t>
      </w:r>
    </w:p>
    <w:p>
      <w:r>
        <w:t>Revocation blocks subsequent requests immediately through the central policy check. Long running exports recheck grants before finalisation and delivery. Streams should terminate when revocation is observed. Bytes already displayed, downloaded or photographed cannot be recalled; explain that limit before sharing. Views may be copied by a recipient even when the Download button is disabled.</w:t>
      </w:r>
    </w:p>
    <w:p>
      <w:pPr>
        <w:pStyle w:val="Heading2"/>
      </w:pPr>
      <w:r>
        <w:t>Access history</w:t>
      </w:r>
    </w:p>
    <w:p>
      <w:r>
        <w:t>Record successful and denied access decisions, actor, organisation, patient, action, resource version, grant, timestamp and request ID. Log view, preview, download, export, review, consent change and submission events. The patient sees named successful accesses and relevant share changes. Security staff can inspect denied attempts without revealing unrelated patients.</w:t>
      </w:r>
    </w:p>
    <w:p>
      <w:pPr>
        <w:pStyle w:val="Heading2"/>
      </w:pPr>
      <w:r>
        <w:t>Additional privacy rules</w:t>
      </w:r>
    </w:p>
    <w:p>
      <w:pPr>
        <w:pStyle w:val="ListBullet"/>
      </w:pPr>
      <w:r>
        <w:t>Separate processing notices from optional sharing consent, emergency publishing, notifications and future research. No preselected optional consent.</w:t>
      </w:r>
    </w:p>
    <w:p>
      <w:pPr>
        <w:pStyle w:val="ListBullet"/>
      </w:pPr>
      <w:r>
        <w:t>Consent withdrawal and account deletion are separate workflows. Withdrawal does not necessarily erase provider records or invalidate an independent lawful processing basis.</w:t>
      </w:r>
    </w:p>
    <w:p>
      <w:pPr>
        <w:pStyle w:val="ListBullet"/>
      </w:pPr>
      <w:r>
        <w:t>Default provider search lists only authorised patients. Block guessing through IDs, search filters, file keys and count endpoints.</w:t>
      </w:r>
    </w:p>
    <w:p>
      <w:pPr>
        <w:pStyle w:val="ListBullet"/>
      </w:pPr>
      <w:r>
        <w:t>Patient correction and dispute routes remain available when the original is a facility record. Preserve provenance rather than allowing silent replacement.</w:t>
      </w:r>
    </w:p>
    <w:p>
      <w:r>
        <w:br w:type="page"/>
      </w:r>
    </w:p>
    <w:p>
      <w:pPr>
        <w:pStyle w:val="Heading1"/>
      </w:pPr>
      <w:r>
        <w:t>9 Emergency profile and PWA behaviour</w:t>
      </w:r>
    </w:p>
    <w:p>
      <w:pPr>
        <w:pStyle w:val="Heading2"/>
      </w:pPr>
      <w:r>
        <w:t>Emergency profile</w:t>
      </w:r>
    </w:p>
    <w:p>
      <w:r>
        <w:t>Emergency publishing is optional and disabled by default. Patient selects the exact fields and previews the public page. Recommended fields are preferred name, critical allergies as recorded, current medications as recorded, emergency contact and the last update date. Blood group or genotype may be included only with explicit selection and source labels. Do not include test files, home address, full date of birth or the full history.</w:t>
      </w:r>
    </w:p>
    <w:p>
      <w:r>
        <w:t>Use a random revocable public token unrelated to Health ID. The QR resolves to a minimal public page marked patient supplied unless a field has verified provenance. Show the patient the risk: anyone who possesses or copies the QR may see these fields. Require confirmation for publish, change, disable and rotation. Return a neutral unavailable message after disable.</w:t>
      </w:r>
    </w:p>
    <w:p>
      <w:r>
        <w:t>Set noindex and nofollow, no referrer, no third party trackers and no store response headers. Rate limit token requests and store minimal access telemetry. Public emergency views cannot reliably identify the viewer; do not claim they provide named doctor audit logs. An app emergency profile never replaces facility identity and clinical checks.</w:t>
      </w:r>
    </w:p>
    <w:p>
      <w:pPr>
        <w:pStyle w:val="Heading2"/>
      </w:pPr>
      <w:r>
        <w:t>Installable PWA</w:t>
      </w:r>
    </w:p>
    <w:p>
      <w:pPr>
        <w:pStyle w:val="ListBullet"/>
      </w:pPr>
      <w:r>
        <w:t>Manifest, app icons, standalone mode and accessible install guidance for supported browsers. Explain platform differences without promising universal push or background processing.</w:t>
      </w:r>
    </w:p>
    <w:p>
      <w:pPr>
        <w:pStyle w:val="ListBullet"/>
      </w:pPr>
      <w:r>
        <w:t>Cache only a versioned public static asset allowlist and a generic offline screen. All authenticated routes, APIs, previews, exports and emergency pages use network only with Cache Control no store.</w:t>
      </w:r>
    </w:p>
    <w:p>
      <w:pPr>
        <w:pStyle w:val="ListBullet"/>
      </w:pPr>
      <w:r>
        <w:t>No health data, authentication secrets or share tokens in localStorage, IndexedDB or the service worker cache. Use secure HTTP only cookies for sessions.</w:t>
      </w:r>
    </w:p>
    <w:p>
      <w:pPr>
        <w:pStyle w:val="ListBullet"/>
      </w:pPr>
      <w:r>
        <w:t>Logout, account switching and forced session revocation clear client memory and any unexpected user specific caches. Test back navigation and restored browser tabs.</w:t>
      </w:r>
    </w:p>
    <w:p>
      <w:pPr>
        <w:pStyle w:val="ListBullet"/>
      </w:pPr>
      <w:r>
        <w:t>Offline MVP displays a generic reconnect screen, not old medical documents. Offline emergency storage is deferred to a separately threat modelled feature.</w:t>
      </w:r>
    </w:p>
    <w:p>
      <w:pPr>
        <w:pStyle w:val="ListBullet"/>
      </w:pPr>
      <w:r>
        <w:t>Push is optional and opt in. Message content is generic, such as A new document is available. No test names or result values on lock screens. An in app inbox is the required fallback.</w:t>
      </w:r>
    </w:p>
    <w:p>
      <w:r>
        <w:br w:type="page"/>
      </w:r>
    </w:p>
    <w:p>
      <w:pPr>
        <w:pStyle w:val="Heading1"/>
      </w:pPr>
      <w:r>
        <w:t>10 Architecture and chosen technology stack</w:t>
      </w:r>
    </w:p>
    <w:p>
      <w:r>
        <w:t>Recommended implementation: TypeScript monorepo with a React PWA, Fastify API and a separate background worker. PostgreSQL is the authoritative relational store. Private S3 compatible object storage holds reports. Redis supports rate limiting and BullMQ jobs. Use a maintained authentication implementation or approved identity provider rather than ad hoc authentication.</w:t>
      </w:r>
    </w:p>
    <w:tbl>
      <w:tblPr>
        <w:tblW w:type="auto" w:w="0"/>
        <w:tblLayout w:type="fixed"/>
        <w:tblLook w:firstColumn="1" w:firstRow="1" w:lastColumn="0" w:lastRow="0" w:noHBand="0" w:noVBand="1" w:val="04A0"/>
      </w:tblPr>
      <w:tblGrid>
        <w:gridCol w:w="2160"/>
        <w:gridCol w:w="7776"/>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Component</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Responsibility</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apps web</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React with Vite, React Router, TanStack Query, Tailwind and accessible components; patient and provider interfaces.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apps api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Fastify request validation, authentication, central access policy, metadata transactions and controlled file streaming.</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apps worker</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Malware scanning, previews, optional OCR drafts, exports, purge jobs and generic notifications.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packages shared</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Zod schemas, typed contracts and common enums. Do not expose server secrets through shared imports.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packages policy</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Authorisation and consent scope evaluation, tested independently of interface behaviour.</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packages results</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Pure deterministic comparisons and versioned explanation templates; no autonomous medical inference.</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Infrastructure</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PostgreSQL migrations, Redis, private objects, email adapter, scanner and secrets manager. Docker Compose for local development.</w:t>
            </w:r>
          </w:p>
        </w:tc>
      </w:tr>
    </w:tbl>
    <w:p>
      <w:pPr>
        <w:spacing w:after="0"/>
      </w:pPr>
    </w:p>
    <w:p>
      <w:pPr>
        <w:pStyle w:val="Heading2"/>
      </w:pPr>
      <w:r>
        <w:t>Data flow and trust boundaries</w:t>
      </w:r>
    </w:p>
    <w:p>
      <w:r>
        <w:t>Browser requests pass through TLS to the authenticated API. The API reads authorised metadata from PostgreSQL and uploads files into quarantine. The worker validates them before moving them to available storage. Downloads are streamed through an authenticated policy checked endpoint rather than public object URLs. Jobs carry internal IDs, not report contents in log fields.</w:t>
      </w:r>
    </w:p>
    <w:p>
      <w:pPr>
        <w:pStyle w:val="Heading2"/>
      </w:pPr>
      <w:r>
        <w:t>Design choices</w:t>
      </w:r>
    </w:p>
    <w:p>
      <w:r>
        <w:t>Keep object buckets private and separate quarantine from clean objects. Prefer brokered downloads to avoid share revocation lag in long lived signed links. Use transactions for grant changes and report finalisation. Notifications and OCR run asynchronously; record storage succeeds even when optional integrations fail. No runtime dependence on external AI is required.</w:t>
      </w:r>
    </w:p>
    <w:p>
      <w:pPr>
        <w:pStyle w:val="Heading2"/>
      </w:pPr>
      <w:r>
        <w:t>Hosting decision</w:t>
      </w:r>
    </w:p>
    <w:p>
      <w:r>
        <w:t>Select hosting region and processors after privacy review, documenting cross border transfers and contracts. Do not assume Nigerian law always requires local hosting or that an overseas cloud is automatically permissible. Separate development, staging and production data and credentials. Pin supported dependency versions and commit a lockfile.</w:t>
      </w:r>
    </w:p>
    <w:p>
      <w:r>
        <w:br w:type="page"/>
      </w:r>
    </w:p>
    <w:p>
      <w:pPr>
        <w:pStyle w:val="Heading1"/>
      </w:pPr>
      <w:r>
        <w:t>11 Database entities and clinical provenance</w:t>
      </w:r>
    </w:p>
    <w:tbl>
      <w:tblPr>
        <w:tblW w:type="auto" w:w="0"/>
        <w:tblLayout w:type="fixed"/>
        <w:tblLook w:firstColumn="1" w:firstRow="1" w:lastColumn="0" w:lastRow="0" w:noHBand="0" w:noVBand="1" w:val="04A0"/>
      </w:tblPr>
      <w:tblGrid>
        <w:gridCol w:w="2016"/>
        <w:gridCol w:w="7920"/>
      </w:tblGrid>
      <w:tr>
        <w:trPr>
          <w:tblHeader/>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Entity group</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Minimum records and important fields</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Identity</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users, sessions, mfa_factors, patient_profiles; UUID, email, state, health_id, dates and version.</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Providers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practitioners, organisations, memberships, verification_cases; credential source, status, expiry and reviewer.</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Clinical documents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records, record_versions, files; patient_id, category, report_date, source_type, organisation_id, object_key, checksum, scan_status and supersedes_id.</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Results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observations, reference_intervals, evaluations; typed value, comparator, unit, context, source flag, confirmation actor and rule version.</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History</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medications, allergies, conditions, encounters, procedures, immunizations, vitals, family_history; source and confirmation status on every item.</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Consent</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grants, grant_resources, claim_tokens, submission_requests; recipient, purpose, scopes, expires_at, revoked_at and token_hash.</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Review</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review_notes, disputes, corrections; author, patient, record_version, status, reason and timestamp.</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Directory</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facilities, services, facility_service_links, favourites; location, verification source and checked_at.</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Privacy and operations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audit_events, emergency_profiles, notification_preferences, notifications, export_jobs, deletion_requests and retention_holds.</w:t>
            </w:r>
          </w:p>
        </w:tc>
      </w:tr>
    </w:tbl>
    <w:p>
      <w:pPr>
        <w:spacing w:after="0"/>
      </w:pPr>
    </w:p>
    <w:p>
      <w:pPr>
        <w:pStyle w:val="Heading2"/>
      </w:pPr>
      <w:r>
        <w:t>Storage invariants</w:t>
      </w:r>
    </w:p>
    <w:p>
      <w:r>
        <w:t>Clinical rows carry patient_id. Foreign keys or transactional validation prevent associating an observation or file with another patient’s record. Organisation membership is checked separately. Use UUID primary keys, unique Health IDs, constrained status enums and decimal numeric types rather than binary floating point for result values. A DOB is optional; do not fabricate one.</w:t>
      </w:r>
    </w:p>
    <w:p>
      <w:r>
        <w:t>Clinical content versions are immutable after confirmation or facility finalisation. Use optimistic concurrency with version or ETag checks; conflicting edits return 409. Preserve origin and supersession chains. Deletion status hides items from active access while the approved retention workflow manages bytes. Files deduplicate only within a patient boundary; cross patient deduplication must not reveal file existence.</w:t>
      </w:r>
    </w:p>
    <w:p>
      <w:pPr>
        <w:pStyle w:val="Heading2"/>
      </w:pPr>
      <w:r>
        <w:t>Indices and search</w:t>
      </w:r>
    </w:p>
    <w:p>
      <w:r>
        <w:t>Index patient and event date, grant recipient and expiry, organisation and status, verification expiry, audit patient and time, and directory coordinates. Limit list queries with cursor pagination. Search only the requesting actor’s authorised scope; no global medical text search or shared analytics index in MVP.</w:t>
      </w:r>
    </w:p>
    <w:p>
      <w:r>
        <w:br w:type="page"/>
      </w:r>
    </w:p>
    <w:p>
      <w:pPr>
        <w:pStyle w:val="Heading1"/>
      </w:pPr>
      <w:r>
        <w:t>12 Interoperability and result record contract</w:t>
      </w:r>
    </w:p>
    <w:p>
      <w:r>
        <w:t>Use an internal relational model with a documented FHIR R4 export mapping. This provides an interoperability path without claiming that the MVP is a complete certified FHIR server. HL7 describes Observation as a measurement resource and DiagnosticReport as context for a set of observations; diagnoses are represented separately [3].</w:t>
      </w:r>
    </w:p>
    <w:tbl>
      <w:tblPr>
        <w:tblW w:type="auto" w:w="0"/>
        <w:tblLayout w:type="fixed"/>
        <w:tblLook w:firstColumn="1" w:firstRow="1" w:lastColumn="0" w:lastRow="0" w:noHBand="0" w:noVBand="1" w:val="04A0"/>
      </w:tblPr>
      <w:tblGrid>
        <w:gridCol w:w="3816"/>
        <w:gridCol w:w="6120"/>
      </w:tblGrid>
      <w:tr>
        <w:trPr>
          <w:tblHeader/>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Internal item</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FHIR R4 mapping</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Patient profile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Patient</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Lab result and vitals</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Observation linked to DiagnosticReport where applicable</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Medical report attachment</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DocumentReference and authorised attachment handling</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Reported medication use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MedicationStatement; not MedicationRequest unless an actual prescription exists</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Condition and allergy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Condition and AllergyIntolerance</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Vaccination and visit</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Immunization and Encounter</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Procedure and family history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Procedure and FamilyMemberHistory</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Doctor and facility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Practitioner, PractitionerRole and Organization</w:t>
            </w:r>
          </w:p>
        </w:tc>
      </w:tr>
      <w:tr>
        <w:trPr>
          <w:cantSplit/>
        </w:trPr>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Source and audit</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Provenance and AuditEvent mapping; Consent mapping requires defined profiles</w:t>
            </w:r>
          </w:p>
        </w:tc>
      </w:tr>
    </w:tbl>
    <w:p>
      <w:pPr>
        <w:spacing w:after="0"/>
      </w:pPr>
    </w:p>
    <w:p>
      <w:pPr>
        <w:pStyle w:val="Heading2"/>
      </w:pPr>
      <w:r>
        <w:t>Minimum observation example</w:t>
      </w:r>
    </w:p>
    <w:p>
      <w:r>
        <w:t>A confirmed row stores test label, optional verified terminology code, raw result text, decimal value, comparator, unit as reported, optional UCUM code, raw reference text, bounds and inclusivity, applicability text, sample date, source page, laboratory flag, author and data version. Example synthetic row: haemoglobin, 14.1, g/dL, reported interval 13 to 17, no critical flag. This example is not a recommended population range.</w:t>
      </w:r>
    </w:p>
    <w:p>
      <w:pPr>
        <w:pStyle w:val="Heading2"/>
      </w:pPr>
      <w:r>
        <w:t>Export contract</w:t>
      </w:r>
    </w:p>
    <w:p>
      <w:r>
        <w:t>Patient exports include original documents, structured JSON, version metadata, source labels and a readable summary. FHIR JSON export includes supported resources in a collection Bundle with resolvable references. Unknown terminology stays uncoded with original text; never guess LOINC or SNOMED codes. Validate export fixtures against the selected R4 profile and record limitations.</w:t>
      </w:r>
    </w:p>
    <w:p>
      <w:pPr>
        <w:pStyle w:val="Heading2"/>
      </w:pPr>
      <w:r>
        <w:t>Future integrations</w:t>
      </w:r>
    </w:p>
    <w:p>
      <w:r>
        <w:t>National systems and partner EHR connections need explicit agreements, matching strategy, approved profiles and authenticated endpoints. Do not imply access to a government registry. No national identity number is mandatory for MVP; Health ID is platform scoped and is not proof of civil identity.</w:t>
      </w:r>
    </w:p>
    <w:p>
      <w:r>
        <w:br w:type="page"/>
      </w:r>
    </w:p>
    <w:p>
      <w:pPr>
        <w:pStyle w:val="Heading1"/>
      </w:pPr>
      <w:r>
        <w:t>13 API endpoints and error contracts</w:t>
      </w:r>
    </w:p>
    <w:tbl>
      <w:tblPr>
        <w:tblW w:type="auto" w:w="0"/>
        <w:tblLayout w:type="fixed"/>
        <w:tblLook w:firstColumn="1" w:firstRow="1" w:lastColumn="0" w:lastRow="0" w:noHBand="0" w:noVBand="1" w:val="04A0"/>
      </w:tblPr>
      <w:tblGrid>
        <w:gridCol w:w="1728"/>
        <w:gridCol w:w="820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Area</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Representative routes</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Authentication</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POST /v1/auth/register, login, logout, verify, reset; GET /v1/me and /v1/sessions; DELETE /v1/sessions/:id</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Patient profile</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GET and PATCH /v1/patients/me; CRUD /v1/history/:type with owner policy</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Documents</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POST /v1/uploads/init; POST /v1/uploads/:id/complete; GET /v1/records; GET /v1/records/:id; GET /v1/files/:id/content</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Clinical rows</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POST /v1/records/:id/observations; PATCH draft rows; POST /v1/observations/:id/confirm; GET versioned evaluations</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Sharing</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POST /v1/grants; GET /v1/grants; POST /v1/grants/:id/revoke; POST /v1/grants/claim</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Provider</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GET /v1/provider/patients; GET /v1/provider/patients/:id/records; POST /v1/records/:id/reviews</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Facility</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POST /v1/submission-requests; POST /v1/submission-requests/:id/approve; POST /v1/facility/reports; POST finalise or amend</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Discovery</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GET /v1/facilities; GET /v1/facilities/:id; POST and DELETE /v1/favourites/:facilityId</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Privacy</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GET /v1/audit/me; POST /v1/exports; GET /v1/exports/:id; POST /v1/deletion-requests; emergency publish, rotate and disable</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Administration</w:t>
            </w:r>
          </w:p>
        </w:tc>
        <w:tc>
          <w:tcPr>
            <w:tcW w:type="dxa" w:w="820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Verification case decisions, organisation suspension and directory management under separate privileged routes</w:t>
            </w:r>
          </w:p>
        </w:tc>
      </w:tr>
    </w:tbl>
    <w:p>
      <w:pPr>
        <w:spacing w:after="0"/>
      </w:pPr>
    </w:p>
    <w:p>
      <w:pPr>
        <w:pStyle w:val="Heading2"/>
      </w:pPr>
      <w:r>
        <w:t>Common contract</w:t>
      </w:r>
    </w:p>
    <w:p>
      <w:r>
        <w:t>Validate request and response schemas; accept ISO dates and UTC timestamps. Return structured errors with code, safe message, field errors and requestId. Use 400 validation error, 401 unauthenticated, 403 denied, 404 unavailable resource, 409 version conflict, 413 file too large, 422 unsupported clinical input and 429 rate limited. Avoid resource existence leakage in cross patient 403 or 404 responses.</w:t>
      </w:r>
    </w:p>
    <w:p>
      <w:r>
        <w:t>Cursor lists default to 20 rows and cap at 100. Grant and upload finalisation accept idempotency keys scoped to the actor and operation. Do not place health information in URLs, exception traces or analytics events. Apply CSRF protection and exact origin checks to cookie authenticated mutations; do not use wildcard credentialed CORS.</w:t>
      </w:r>
    </w:p>
    <w:p>
      <w:pPr>
        <w:pStyle w:val="Heading2"/>
      </w:pPr>
      <w:r>
        <w:t>Validation examples</w:t>
      </w:r>
    </w:p>
    <w:p>
      <w:r>
        <w:t>Reject a grant whose resource belongs to another patient, a facility report without patient approval, an expired request, a review without review scope, and malformed units or ranges. Treat expected denial as a tested contract, not an unhandled server exception.</w:t>
      </w:r>
    </w:p>
    <w:p>
      <w:r>
        <w:br w:type="page"/>
      </w:r>
    </w:p>
    <w:p>
      <w:pPr>
        <w:pStyle w:val="Heading1"/>
      </w:pPr>
      <w:r>
        <w:t>14 Security files and privacy lifecycle</w:t>
      </w:r>
    </w:p>
    <w:p>
      <w:pPr>
        <w:pStyle w:val="Heading2"/>
      </w:pPr>
      <w:r>
        <w:t>Authentication and infrastructure</w:t>
      </w:r>
    </w:p>
    <w:p>
      <w:pPr>
        <w:pStyle w:val="ListBullet"/>
      </w:pPr>
      <w:r>
        <w:t>Use TLS, secure HTTP only SameSite cookies, strong password hashing, email verification, generic reset responses and hashed single use recovery tokens. Require MFA for providers and privileged administrators.</w:t>
      </w:r>
    </w:p>
    <w:p>
      <w:pPr>
        <w:pStyle w:val="ListBullet"/>
      </w:pPr>
      <w:r>
        <w:t>Proposed session limits: provider and admin 15 minute idle timeout with 8 hour maximum; patient 30 minute idle with 24 hour maximum. Reauthenticate for exports, emergency publication and account deletion.</w:t>
      </w:r>
    </w:p>
    <w:p>
      <w:pPr>
        <w:pStyle w:val="ListBullet"/>
      </w:pPr>
      <w:r>
        <w:t>Encrypt database volumes, objects and backups; protect encryption keys separately. Rotate secrets and restrict production database accounts. Infrastructure root access is exceptional and logged.</w:t>
      </w:r>
    </w:p>
    <w:p>
      <w:pPr>
        <w:pStyle w:val="ListBullet"/>
      </w:pPr>
      <w:r>
        <w:t>Apply CSP, clickjacking protection, strict content types, minimal CORS and rate limits. Keep PHI out of telemetry, crash tools, URLs, email and push payloads. No session replay tools on authenticated pages.</w:t>
      </w:r>
    </w:p>
    <w:p>
      <w:pPr>
        <w:pStyle w:val="Heading2"/>
      </w:pPr>
      <w:r>
        <w:t>File pipeline</w:t>
      </w:r>
    </w:p>
    <w:p>
      <w:r>
        <w:t>Proposed limits: PDF, JPEG and PNG only, 10 MB per file, 5 files per batch and 500 MB soft quota per patient. Validate extension, detected content type, file signature, dimensions and PDF page count. Reject encrypted PDFs, active content, archive files and corrupted payloads. Quarantine until malware and structural checks succeed; unavailable scanning leaves pending, never clean.</w:t>
      </w:r>
    </w:p>
    <w:p>
      <w:r>
        <w:t>Preserve the original privately and create a sanitised preview in a sandboxed worker. Strip image metadata from previews. Never execute embedded content. Downloads use attachment disposition where appropriate, no store headers and fresh authorisation. Remove abandoned quarantine uploads after a proposed 24 hours. Enforce quota and processing limits server side.</w:t>
      </w:r>
    </w:p>
    <w:p>
      <w:pPr>
        <w:pStyle w:val="Heading2"/>
      </w:pPr>
      <w:r>
        <w:t>Export deletion and retention</w:t>
      </w:r>
    </w:p>
    <w:p>
      <w:r>
        <w:t>Exports require reauthentication and are private, short lived and logged; proposed expiry is 24 hours. A deletion request disables new access, revokes grants and identifies retention holds. Propose a 30 day recovery period, then purge eligible files, previews, rows and token associations. Show exceptions and completion state. The legal team must approve final timelines and audit retention before real data is accepted.</w:t>
      </w:r>
    </w:p>
    <w:p>
      <w:r>
        <w:t>Provider records may require independent retention. Patient withdrawal cannot promise erasure of another organisation’s lawful copy. Backups age out under the approved schedule; apply a deletion ledger before restored systems return to service. Audit records are append only, access restricted and contain minimal metadata, with a separately approved retention period.</w:t>
      </w:r>
    </w:p>
    <w:p>
      <w:r>
        <w:br w:type="page"/>
      </w:r>
    </w:p>
    <w:p>
      <w:pPr>
        <w:pStyle w:val="Heading1"/>
      </w:pPr>
      <w:r>
        <w:t>15 Regulatory and clinical release preparation</w:t>
      </w:r>
    </w:p>
    <w:p>
      <w:r>
        <w:t>NAFDAC publishes registration guidance for Software as a Medical Device, effective 1 July 2024 [1]. Obtain a written intended use and classification decision for the actual result functions before releasing them. Neither a disclaimer nor the absence of machine learning settles classification.</w:t>
      </w:r>
    </w:p>
    <w:p>
      <w:r>
        <w:t>NDPC materials identify the NDP Act 2023 and GAID 2025 as the privacy implementation framework and emphasise privacy by design for healthcare [2]. Engage a qualified Nigerian privacy adviser or licensed DPCO to determine applicable duties. This specification is a product design and launch work plan, not evidence of registration or legal compliance.</w:t>
      </w:r>
    </w:p>
    <w:tbl>
      <w:tblPr>
        <w:tblW w:type="auto" w:w="0"/>
        <w:tblLayout w:type="fixed"/>
        <w:tblLook w:firstColumn="1" w:firstRow="1" w:lastColumn="0" w:lastRow="0" w:noHBand="0" w:noVBand="1" w:val="04A0"/>
      </w:tblPr>
      <w:tblGrid>
        <w:gridCol w:w="2448"/>
        <w:gridCol w:w="7488"/>
      </w:tblGrid>
      <w:tr>
        <w:trPr>
          <w:tblHeader/>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Owner</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Required release evidence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Founder and counsel</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Corporate identity, terms, provider agreements, liability allocation and documented product intended use.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Privacy lead and DPCO</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DPIA, data inventory, lawful basis and sensitive data conditions, processor contracts, transfer assessment, rights process and applicable NDPC registration or audit obligations.</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Clinical lead</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Approved result wording, hazards, range rules, critical flag handling, education content and signed feature release decision.</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Regulatory adviser</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NAFDAC classification assessment and required submission or approval path where applicable.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Provider verifier</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Documented credential and facility checks against relevant authorities; no unsupported accreditation badge.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Security lead</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Threat model, independent assessment, access tests, incident process, backup restore evidence and operational signoff.</w:t>
            </w:r>
          </w:p>
        </w:tc>
      </w:tr>
    </w:tbl>
    <w:p>
      <w:pPr>
        <w:spacing w:after="0"/>
      </w:pPr>
    </w:p>
    <w:p>
      <w:pPr>
        <w:pStyle w:val="Heading2"/>
      </w:pPr>
      <w:r>
        <w:t>Named authorities and scope</w:t>
      </w:r>
    </w:p>
    <w:p>
      <w:r>
        <w:t>Plan verification around MDCN for practitioners, MLSCN for laboratory practice and relevant state facility regulators. Engage the Federal Ministry of Health and Social Welfare on interoperability only when an integration pathway is defined. CAC company registration is separate from permission to operate a regulated medical function. An authority’s name must not appear as a platform endorsement without written approval.</w:t>
      </w:r>
    </w:p>
    <w:p>
      <w:pPr>
        <w:pStyle w:val="Heading2"/>
      </w:pPr>
      <w:r>
        <w:t>Release evidence package</w:t>
      </w:r>
    </w:p>
    <w:p>
      <w:r>
        <w:t>Maintain requirements, architectural decisions, data flows, hazard register, test results, residual risks, training materials, version history and named approvals. If required evidence is incomplete, deploy only synthetic demo data or leave the affected feature disabled. Do not claim NAFDAC approval, NDPC compliance or FHIR certification based on code generation.</w:t>
      </w:r>
    </w:p>
    <w:p>
      <w:r>
        <w:br w:type="page"/>
      </w:r>
    </w:p>
    <w:p>
      <w:pPr>
        <w:pStyle w:val="Heading1"/>
      </w:pPr>
      <w:r>
        <w:t>16 Operations support and pilot delivery</w:t>
      </w:r>
    </w:p>
    <w:p>
      <w:pPr>
        <w:pStyle w:val="Heading2"/>
      </w:pPr>
      <w:r>
        <w:t>Operational service targets</w:t>
      </w:r>
    </w:p>
    <w:p>
      <w:r>
        <w:t>Proposed pilot availability target is 99.5% monthly excluding planned maintenance. Target p95 metadata requests below 800 ms under a defined 50 concurrent session test; render the initial interface within 3 seconds on a representative constrained mobile connection. Measure upload progress separately from processing time. Set explicit quotas and monitor storage growth before expanding.</w:t>
      </w:r>
    </w:p>
    <w:p>
      <w:r>
        <w:t>Proposed backup targets are recovery point within 24 hours and recovery time within 8 hours. Encrypt daily database and object backups and test a coordinated restore at least monthly during pilot. Verify grants, versions and deletion ledgers after restore. Backup targets are operational goals, not a substitute for a clinical continuity plan.</w:t>
      </w:r>
    </w:p>
    <w:p>
      <w:pPr>
        <w:pStyle w:val="Heading2"/>
      </w:pPr>
      <w:r>
        <w:t>Monitoring and incident handling</w:t>
      </w:r>
    </w:p>
    <w:p>
      <w:r>
        <w:t>Monitor API errors, job failures, scan backlog, object failures, expired verification and suspicious downloads using identifiers rather than medical text. Alert an assigned operator. If audit persistence fails, privileged access and exports fail closed; ordinary access follows a documented safe outage policy. A scanner outage pauses availability of new files.</w:t>
      </w:r>
    </w:p>
    <w:p>
      <w:r>
        <w:t>The incident runbook records detection, containment, credential revocation, affected data, evidence preservation, privacy assessment, required notifications and recovery. Confirm statutory notification thresholds and deadlines with counsel; do not code an assumption that every incident has the same notification requirement.</w:t>
      </w:r>
    </w:p>
    <w:p>
      <w:pPr>
        <w:pStyle w:val="Heading2"/>
      </w:pPr>
      <w:r>
        <w:t>Support and pilot sequence</w:t>
      </w:r>
    </w:p>
    <w:p>
      <w:pPr>
        <w:pStyle w:val="ListBullet"/>
      </w:pPr>
      <w:r>
        <w:t>Recruit a small opt in adult cohort, for example 50 to 100 patients and 2 to 3 verified facilities. These are planning estimates, not signed partners.</w:t>
      </w:r>
    </w:p>
    <w:p>
      <w:pPr>
        <w:pStyle w:val="ListBullet"/>
      </w:pPr>
      <w:r>
        <w:t>Train staff on matching identities, finalising reports, amendments, source labels and consent boundaries. Give patients a short walkthrough of sharing and revocation.</w:t>
      </w:r>
    </w:p>
    <w:p>
      <w:pPr>
        <w:pStyle w:val="ListBullet"/>
      </w:pPr>
      <w:r>
        <w:t>Provide a visible support channel and correction or privacy request form. Support uploads of evidence remain private and access restricted.</w:t>
      </w:r>
    </w:p>
    <w:p>
      <w:pPr>
        <w:pStyle w:val="ListBullet"/>
      </w:pPr>
      <w:r>
        <w:t>Review adoption, failed uploads, transcription discrepancies and consent comprehension weekly. Pause unsafe functions and preserve evidence when errors recur.</w:t>
      </w:r>
    </w:p>
    <w:p>
      <w:r>
        <w:br w:type="page"/>
      </w:r>
    </w:p>
    <w:p>
      <w:pPr>
        <w:pStyle w:val="Heading1"/>
      </w:pPr>
      <w:r>
        <w:t>17 Engineering backlog and acceptance tests</w:t>
      </w:r>
    </w:p>
    <w:tbl>
      <w:tblPr>
        <w:tblW w:type="auto" w:w="0"/>
        <w:tblLayout w:type="fixed"/>
        <w:tblLook w:firstColumn="1" w:firstRow="1" w:lastColumn="0" w:lastRow="0" w:noHBand="0" w:noVBand="1" w:val="04A0"/>
      </w:tblPr>
      <w:tblGrid>
        <w:gridCol w:w="2016"/>
        <w:gridCol w:w="7920"/>
      </w:tblGrid>
      <w:tr>
        <w:trPr>
          <w:tblHeader/>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Stage</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pPr>
            <w:r>
              <w:rPr>
                <w:b/>
                <w:sz w:val="20"/>
              </w:rPr>
              <w:t>Deliverable and exit condition</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1 Foundation</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Monorepo, local services, migrations, authentication, patient ownership and initial policy tests.</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2 Records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Quarantined upload, private preview, health history, versions and patient search; scanner failure tests pass.</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3 Sharing</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Named grants, provider MFA, expiry, revocation, audit and reviews; cross patient denial tests pass.</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4 Facilities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Verification, membership, submission requests, finalisation, amendments, directory and favourites.</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5 Results and PWA</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Confirmed structured rows, grey state and feature gated comparison; no PHI cache tests and install smoke tests.</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6 Release preparation</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pPr>
            <w:r>
              <w:rPr>
                <w:b w:val="0"/>
                <w:sz w:val="20"/>
              </w:rPr>
              <w:t>Exports, deletion jobs, backups, runbooks, accessibility review, independent security and clinical review.</w:t>
            </w:r>
          </w:p>
        </w:tc>
      </w:tr>
    </w:tbl>
    <w:p>
      <w:pPr>
        <w:spacing w:after="0"/>
      </w:pPr>
    </w:p>
    <w:p>
      <w:pPr>
        <w:pStyle w:val="Heading2"/>
      </w:pPr>
      <w:r>
        <w:t>Required acceptance suite</w:t>
      </w:r>
    </w:p>
    <w:p>
      <w:pPr>
        <w:pStyle w:val="ListBullet"/>
      </w:pPr>
      <w:r>
        <w:t>Two patients with different files cannot access each other through record IDs, object keys, thumbnails, observation rows, exports, search or audit endpoints.</w:t>
      </w:r>
    </w:p>
    <w:p>
      <w:pPr>
        <w:pStyle w:val="ListBullet"/>
      </w:pPr>
      <w:r>
        <w:t>A pending practitioner, expired credential, revoked membership or missing MFA session cannot open a shared record. Grant expiry and revocation take effect on the next server request.</w:t>
      </w:r>
    </w:p>
    <w:p>
      <w:pPr>
        <w:pStyle w:val="ListBullet"/>
      </w:pPr>
      <w:r>
        <w:t>View only grants cannot download through the download endpoint or export records. Review scope is explicit. Export jobs must not deliver after revocation.</w:t>
      </w:r>
    </w:p>
    <w:p>
      <w:pPr>
        <w:pStyle w:val="ListBullet"/>
      </w:pPr>
      <w:r>
        <w:t>Patient uploaded and facility submitted labels remain separate from clinician reviewed status. Amendment preserves source versions and invalidates old calculations.</w:t>
      </w:r>
    </w:p>
    <w:p>
      <w:pPr>
        <w:pStyle w:val="ListBullet"/>
      </w:pPr>
      <w:r>
        <w:t>Unconfirmed OCR, missing units, unsupported comparators, ambiguous ranges and context conflicts stay grey. Boundary values, one sided intervals and qualitative values have deterministic tests.</w:t>
      </w:r>
    </w:p>
    <w:p>
      <w:pPr>
        <w:pStyle w:val="ListBullet"/>
      </w:pPr>
      <w:r>
        <w:t>Malicious, oversized, encrypted, mislabeled and unscanned files cannot become available. Failed scan jobs can retry without duplicate records.</w:t>
      </w:r>
    </w:p>
    <w:p>
      <w:pPr>
        <w:pStyle w:val="ListBullet"/>
      </w:pPr>
      <w:r>
        <w:t>Login recovery does not reveal account existence. Cookie mutation endpoints resist CSRF, and reset tokens cannot be reused.</w:t>
      </w:r>
    </w:p>
    <w:p>
      <w:pPr>
        <w:pStyle w:val="ListBullet"/>
      </w:pPr>
      <w:r>
        <w:t>Offline browsing, logout, account switching and back navigation expose no cached report, token or medical JSON. Emergency QR is disabled until consent, and rotation invalidates the old token.</w:t>
      </w:r>
    </w:p>
    <w:p>
      <w:pPr>
        <w:pStyle w:val="ListBullet"/>
      </w:pPr>
      <w:r>
        <w:t>Patient export contains only authorised records. Deletion purges eligible content and restored backups honour the deletion ledger.</w:t>
      </w:r>
    </w:p>
    <w:p>
      <w:pPr>
        <w:pStyle w:val="ListBullet"/>
      </w:pPr>
      <w:r>
        <w:t>Keyboard navigation, focus order, labels, 200% zoom, narrow screens and non colour status labels pass accessibility review.</w:t>
      </w:r>
    </w:p>
    <w:p>
      <w:r>
        <w:t>Use unit tests for policy and results, integration tests with real PostgreSQL and private object fixtures, and Playwright for user workflows. Avoid tests that only prove a button exists. Every high risk requirement must map to at least one test or a documented manual review.</w:t>
      </w:r>
    </w:p>
    <w:p>
      <w:r>
        <w:br w:type="page"/>
      </w:r>
    </w:p>
    <w:p>
      <w:pPr>
        <w:pStyle w:val="Heading1"/>
      </w:pPr>
      <w:r>
        <w:t>18 Launch checklist decisions and references</w:t>
      </w:r>
    </w:p>
    <w:p>
      <w:pPr>
        <w:pStyle w:val="Heading2"/>
      </w:pPr>
      <w:r>
        <w:t>Decisions to close before the pilot</w:t>
      </w:r>
    </w:p>
    <w:p>
      <w:pPr>
        <w:pStyle w:val="ListBullet"/>
      </w:pPr>
      <w:r>
        <w:t>Confirm product name, adult pilot population, initial partner facilities and clinical lead.</w:t>
      </w:r>
    </w:p>
    <w:p>
      <w:pPr>
        <w:pStyle w:val="ListBullet"/>
      </w:pPr>
      <w:r>
        <w:t>Select authentication, hosting region, email service, object storage, malware scanner and support channel with processor agreements.</w:t>
      </w:r>
    </w:p>
    <w:p>
      <w:pPr>
        <w:pStyle w:val="ListBullet"/>
      </w:pPr>
      <w:r>
        <w:t>Approve retention periods, session policies, incident duties and exceptional administrator access process.</w:t>
      </w:r>
    </w:p>
    <w:p>
      <w:pPr>
        <w:pStyle w:val="ListBullet"/>
      </w:pPr>
      <w:r>
        <w:t>Approve directory provenance and verification evidence rules. Maps and geocoding providers must not receive patient medical details.</w:t>
      </w:r>
    </w:p>
    <w:p>
      <w:pPr>
        <w:pStyle w:val="ListBullet"/>
      </w:pPr>
      <w:r>
        <w:t>Obtain privacy and intended use decisions. Keep result comparison disabled until its clinical and regulatory release evidence is signed.</w:t>
      </w:r>
    </w:p>
    <w:p>
      <w:pPr>
        <w:pStyle w:val="ListBullet"/>
      </w:pPr>
      <w:r>
        <w:t>Agree success criteria, pilot budget, ownership of support and an escalation route for incorrect records.</w:t>
      </w:r>
    </w:p>
    <w:p>
      <w:pPr>
        <w:pStyle w:val="Heading2"/>
      </w:pPr>
      <w:r>
        <w:t>Release checklist</w:t>
      </w:r>
    </w:p>
    <w:p>
      <w:r>
        <w:t>All mandatory acceptance tests pass; independent security findings are closed or explicitly accepted by the accountable owner; credentials are verified; backups restore; consent and notices are approved; production has no synthetic credentials or public buckets; logs contain no PHI; deletion and export work; feature flags match the authorised intended use. Record a go or no go decision with owner and date.</w:t>
      </w:r>
    </w:p>
    <w:p>
      <w:pPr>
        <w:pStyle w:val="Heading2"/>
      </w:pPr>
      <w:r>
        <w:t>Reference register</w:t>
      </w:r>
    </w:p>
    <w:p>
      <w:r>
        <w:t>[1] NAFDAC. Guidelines for Registration of Software as a Medical Device in Nigeria. Effective date 1 July 2024. Official guidance located on 7 October 2026. Classification and registration requirements must be checked against the full current guidance with a regulatory adviser.</w:t>
      </w:r>
    </w:p>
    <w:p>
      <w:r>
        <w:t>https://nafdac.gov.ng/wp-content/uploads/Files/Resources/Guidelines/DR_And_R_Guidelines/Guidelines-for-Registration-of-Software-as-a-Medical-Device-SaMD-in-Nigeria.pdf</w:t>
      </w:r>
    </w:p>
    <w:p>
      <w:r>
        <w:t>[2] NDPC. NDPC Drives Data Protection Agenda at NCCIDE Stresses Need to Accelerate NDP Act Compliance; and NDPC Highlights Privacy Preserving Technologies as Key Priority for Securing Health Data in Nigeria. Official pages located on 7 October 2026. These identify the privacy framework and healthcare privacy priorities; obtain the full current Act and GAID for a clause level compliance assessment.</w:t>
      </w:r>
    </w:p>
    <w:p>
      <w:r>
        <w:t>https://ndpc.gov.ng/ndpc-drives-data-protection-agenda-at-nccide-stresses-need-to-accelerate-ndp-act-compliance/</w:t>
      </w:r>
    </w:p>
    <w:p>
      <w:r>
        <w:t>https://ndpc.gov.ng/ndpc-highlights-privacy-preserving-technologies-as-key-priority-for-securing-health-data-in-nigeria/</w:t>
      </w:r>
    </w:p>
    <w:p>
      <w:r>
        <w:t>[3] HL7. FHIR R4 Observation resource and relationships. Version 4.0.1. Accessed 7 October 2026. R4 is the selected export baseline, not a claim that it is the newest FHIR release.</w:t>
      </w:r>
    </w:p>
    <w:p>
      <w:r>
        <w:t>https://hl7.org/fhir/R4/observation.html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Netrue Limited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Patient controlled medical records PWA for Nigeria</dc:subject>
  <dc:creator>Netrue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