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CE0"/>
          <w:sz w:val="20"/>
          <w:szCs w:val="20"/>
        </w:rPr>
        <w:t xml:space="preserve">PRODUCT REQUIREMENTS DOCUMENT</w:t>
      </w:r>
    </w:p>
    <w:p>
      <w:pPr>
        <w:spacing w:after="160"/>
      </w:pPr>
      <w:r>
        <w:rPr>
          <w:b/>
          <w:bCs/>
          <w:sz w:val="44"/>
          <w:szCs w:val="44"/>
        </w:rPr>
        <w:t xml:space="preserve">Copy Trading &amp; Referral Earnings Platform</w:t>
      </w:r>
    </w:p>
    <w:p>
      <w:pPr>
        <w:spacing w:after="40"/>
      </w:pPr>
      <w:r>
        <w:rPr>
          <w:b/>
          <w:bCs/>
          <w:sz w:val="20"/>
          <w:szCs w:val="20"/>
        </w:rPr>
        <w:t xml:space="preserve">Platforms: </w:t>
      </w:r>
      <w:r>
        <w:rPr>
          <w:color w:val="5A6070"/>
          <w:sz w:val="20"/>
          <w:szCs w:val="20"/>
        </w:rPr>
        <w:t xml:space="preserve">Web App + Mobile App (iOS &amp; Android)    </w:t>
      </w:r>
    </w:p>
    <w:p>
      <w:pPr>
        <w:pBdr>
          <w:bottom w:val="single" w:color="D9DCE3" w:sz="6" w:space="8"/>
        </w:pBdr>
        <w:spacing w:after="200"/>
      </w:pPr>
      <w:r>
        <w:rPr>
          <w:b/>
          <w:bCs/>
          <w:sz w:val="20"/>
          <w:szCs w:val="20"/>
        </w:rPr>
        <w:t xml:space="preserve">Document Status: </w:t>
      </w:r>
      <w:r>
        <w:rPr>
          <w:color w:val="5A6070"/>
          <w:sz w:val="20"/>
          <w:szCs w:val="20"/>
        </w:rPr>
        <w:t xml:space="preserve">Draft v1.0</w:t>
      </w:r>
    </w:p>
    <w:p>
      <w:pPr>
        <w:pStyle w:val="Heading1"/>
        <w:pBdr>
          <w:bottom w:val="single" w:color="D9DCE3" w:sz="6" w:space="4"/>
        </w:pBdr>
        <w:spacing w:after="140" w:before="320"/>
      </w:pPr>
      <w:r>
        <w:t xml:space="preserve">1. Overview</w:t>
      </w:r>
    </w:p>
    <w:p>
      <w:pPr>
        <w:spacing w:after="140"/>
      </w:pPr>
      <w:r>
        <w:t xml:space="preserve">This platform allows users to deposit funds, copy trading signals automatically, earn through a multi-level referral structure, and withdraw earnings — all accessible via a web application and a companion mobile app. Users progress through membership levels (Blue, Elite, Silver, Gold, Platinum) that unlock increasing benefits, and can track earnings generated by the people they've referred ("downliners"). An admin dashboard gives the platform operator full control and visibility over users, transactions, and signal distribution.</w:t>
      </w:r>
    </w:p>
    <w:p>
      <w:pPr>
        <w:pStyle w:val="Heading1"/>
        <w:pBdr>
          <w:bottom w:val="single" w:color="D9DCE3" w:sz="6" w:space="4"/>
        </w:pBdr>
        <w:spacing w:after="140" w:before="320"/>
      </w:pPr>
      <w:r>
        <w:t xml:space="preserve">2. Scope</w:t>
      </w:r>
    </w:p>
    <w:p>
      <w:pPr>
        <w:spacing w:after="100" w:before="220"/>
      </w:pPr>
      <w:r>
        <w:rPr>
          <w:b/>
          <w:bCs/>
          <w:color w:val="2F5CE0"/>
          <w:sz w:val="24"/>
          <w:szCs w:val="24"/>
        </w:rPr>
        <w:t xml:space="preserve">Web</w:t>
      </w:r>
    </w:p>
    <w:p>
      <w:pPr>
        <w:spacing w:after="140"/>
      </w:pPr>
      <w:r>
        <w:t xml:space="preserve">Full-featured web application covering user registration, wallet management, deposits/withdrawals, copy signals, referrals, and level progression. Includes the complete admin dashboard.</w:t>
      </w:r>
    </w:p>
    <w:p>
      <w:pPr>
        <w:spacing w:after="100" w:before="220"/>
      </w:pPr>
      <w:r>
        <w:rPr>
          <w:b/>
          <w:bCs/>
          <w:color w:val="2F5CE0"/>
          <w:sz w:val="24"/>
          <w:szCs w:val="24"/>
        </w:rPr>
        <w:t xml:space="preserve">Mobile</w:t>
      </w:r>
    </w:p>
    <w:p>
      <w:pPr>
        <w:spacing w:after="140"/>
      </w:pPr>
      <w:r>
        <w:t xml:space="preserve">Companion mobile app (iOS &amp; Android) mirroring the core user-facing features — wallet, deposits/withdrawals, copy signals, referral tracking, and level status — for on-the-go access. Admin dashboard is web-only.</w:t>
      </w:r>
    </w:p>
    <w:p>
      <w:pPr>
        <w:pStyle w:val="Heading1"/>
        <w:pBdr>
          <w:bottom w:val="single" w:color="D9DCE3" w:sz="6" w:space="4"/>
        </w:pBdr>
        <w:spacing w:after="140" w:before="320"/>
      </w:pPr>
      <w:r>
        <w:t xml:space="preserve">3. User-Facing Features</w:t>
      </w:r>
    </w:p>
    <w:p>
      <w:pPr>
        <w:spacing w:after="100" w:before="220"/>
      </w:pPr>
      <w:r>
        <w:rPr>
          <w:b/>
          <w:bCs/>
          <w:color w:val="2F5CE0"/>
          <w:sz w:val="24"/>
          <w:szCs w:val="24"/>
        </w:rPr>
        <w:t xml:space="preserve">3.1 Account &amp; Wallets</w:t>
      </w:r>
    </w:p>
    <w:p>
      <w:pPr>
        <w:pStyle w:val="ListParagraph"/>
        <w:numPr>
          <w:ilvl w:val="0"/>
          <w:numId w:val="2"/>
        </w:numPr>
        <w:spacing w:after="80"/>
      </w:pPr>
      <w:r>
        <w:t xml:space="preserve">Register and complete profile setup (name, email/phone, password, referral code entry if referred).</w:t>
      </w:r>
    </w:p>
    <w:p>
      <w:pPr>
        <w:pStyle w:val="ListParagraph"/>
        <w:numPr>
          <w:ilvl w:val="0"/>
          <w:numId w:val="2"/>
        </w:numPr>
        <w:spacing w:after="80"/>
      </w:pPr>
      <w:r>
        <w:t xml:space="preserve">Each user is automatically issued their own unique deposit wallet address(es) upon signup — no manual request needed.</w:t>
      </w:r>
    </w:p>
    <w:p>
      <w:pPr>
        <w:pStyle w:val="ListParagraph"/>
        <w:numPr>
          <w:ilvl w:val="0"/>
          <w:numId w:val="2"/>
        </w:numPr>
        <w:spacing w:after="80"/>
      </w:pPr>
      <w:r>
        <w:t xml:space="preserve">View wallet balance(s) and transaction history in real time.</w:t>
      </w:r>
    </w:p>
    <w:p>
      <w:pPr>
        <w:pStyle w:val="ListParagraph"/>
        <w:numPr>
          <w:ilvl w:val="0"/>
          <w:numId w:val="2"/>
        </w:numPr>
        <w:spacing w:after="80"/>
      </w:pPr>
      <w:r>
        <w:t xml:space="preserve">Copy or share their own wallet address and referral link/code.</w:t>
      </w:r>
    </w:p>
    <w:p>
      <w:pPr>
        <w:spacing w:after="100" w:before="220"/>
      </w:pPr>
      <w:r>
        <w:rPr>
          <w:b/>
          <w:bCs/>
          <w:color w:val="2F5CE0"/>
          <w:sz w:val="24"/>
          <w:szCs w:val="24"/>
        </w:rPr>
        <w:t xml:space="preserve">3.2 Deposits</w:t>
      </w:r>
    </w:p>
    <w:p>
      <w:pPr>
        <w:pStyle w:val="ListParagraph"/>
        <w:numPr>
          <w:ilvl w:val="0"/>
          <w:numId w:val="2"/>
        </w:numPr>
        <w:spacing w:after="80"/>
      </w:pPr>
      <w:r>
        <w:t xml:space="preserve">Deposit funds by sending to their auto-generated wallet address.</w:t>
      </w:r>
    </w:p>
    <w:p>
      <w:pPr>
        <w:pStyle w:val="ListParagraph"/>
        <w:numPr>
          <w:ilvl w:val="0"/>
          <w:numId w:val="2"/>
        </w:numPr>
        <w:spacing w:after="80"/>
      </w:pPr>
      <w:r>
        <w:t xml:space="preserve">View real-time deposit status (pending → confirmed → credited).</w:t>
      </w:r>
    </w:p>
    <w:p>
      <w:pPr>
        <w:pStyle w:val="ListParagraph"/>
        <w:numPr>
          <w:ilvl w:val="0"/>
          <w:numId w:val="2"/>
        </w:numPr>
        <w:spacing w:after="80"/>
      </w:pPr>
      <w:r>
        <w:t xml:space="preserve">Receive in-app/push notification once a deposit is confirmed and credited.</w:t>
      </w:r>
    </w:p>
    <w:p>
      <w:pPr>
        <w:pStyle w:val="ListParagraph"/>
        <w:numPr>
          <w:ilvl w:val="0"/>
          <w:numId w:val="2"/>
        </w:numPr>
        <w:spacing w:after="80"/>
      </w:pPr>
      <w:r>
        <w:t xml:space="preserve">View full deposit history with timestamps and amounts.</w:t>
      </w:r>
    </w:p>
    <w:p>
      <w:pPr>
        <w:spacing w:after="100" w:before="220"/>
      </w:pPr>
      <w:r>
        <w:rPr>
          <w:b/>
          <w:bCs/>
          <w:color w:val="2F5CE0"/>
          <w:sz w:val="24"/>
          <w:szCs w:val="24"/>
        </w:rPr>
        <w:t xml:space="preserve">3.3 Withdrawals</w:t>
      </w:r>
    </w:p>
    <w:p>
      <w:pPr>
        <w:pStyle w:val="ListParagraph"/>
        <w:numPr>
          <w:ilvl w:val="0"/>
          <w:numId w:val="2"/>
        </w:numPr>
        <w:spacing w:after="80"/>
      </w:pPr>
      <w:r>
        <w:t xml:space="preserve">Submit a withdrawal request specifying amount and destination wallet address.</w:t>
      </w:r>
    </w:p>
    <w:p>
      <w:pPr>
        <w:pStyle w:val="ListParagraph"/>
        <w:numPr>
          <w:ilvl w:val="0"/>
          <w:numId w:val="2"/>
        </w:numPr>
        <w:spacing w:after="80"/>
      </w:pPr>
      <w:r>
        <w:t xml:space="preserve">Withdrawals are processed within a 1–24 hour window (displayed to the user as an expected processing time).</w:t>
      </w:r>
    </w:p>
    <w:p>
      <w:pPr>
        <w:pStyle w:val="ListParagraph"/>
        <w:numPr>
          <w:ilvl w:val="0"/>
          <w:numId w:val="2"/>
        </w:numPr>
        <w:spacing w:after="80"/>
      </w:pPr>
      <w:r>
        <w:t xml:space="preserve">Track withdrawal status: pending, processing, completed, or declined (with reason, if declined).</w:t>
      </w:r>
    </w:p>
    <w:p>
      <w:pPr>
        <w:pStyle w:val="ListParagraph"/>
        <w:numPr>
          <w:ilvl w:val="0"/>
          <w:numId w:val="2"/>
        </w:numPr>
        <w:spacing w:after="80"/>
      </w:pPr>
      <w:r>
        <w:t xml:space="preserve">View complete withdrawal history.</w:t>
      </w:r>
    </w:p>
    <w:p>
      <w:pPr>
        <w:spacing w:after="100" w:before="220"/>
      </w:pPr>
      <w:r>
        <w:rPr>
          <w:b/>
          <w:bCs/>
          <w:color w:val="2F5CE0"/>
          <w:sz w:val="24"/>
          <w:szCs w:val="24"/>
        </w:rPr>
        <w:t xml:space="preserve">3.4 Copy Signals</w:t>
      </w:r>
    </w:p>
    <w:p>
      <w:pPr>
        <w:pStyle w:val="ListParagraph"/>
        <w:numPr>
          <w:ilvl w:val="0"/>
          <w:numId w:val="2"/>
        </w:numPr>
        <w:spacing w:after="80"/>
      </w:pPr>
      <w:r>
        <w:t xml:space="preserve">Browse available trading signals/strategies published by the platform.</w:t>
      </w:r>
    </w:p>
    <w:p>
      <w:pPr>
        <w:pStyle w:val="ListParagraph"/>
        <w:numPr>
          <w:ilvl w:val="0"/>
          <w:numId w:val="2"/>
        </w:numPr>
        <w:spacing w:after="80"/>
      </w:pPr>
      <w:r>
        <w:t xml:space="preserve">Enable "Copy" on a signal so trades are mirrored automatically to the user's account/portfolio.</w:t>
      </w:r>
    </w:p>
    <w:p>
      <w:pPr>
        <w:pStyle w:val="ListParagraph"/>
        <w:numPr>
          <w:ilvl w:val="0"/>
          <w:numId w:val="2"/>
        </w:numPr>
        <w:spacing w:after="80"/>
      </w:pPr>
      <w:r>
        <w:t xml:space="preserve">Set risk parameters per copied signal where applicable (e.g., allocation amount or percentage).</w:t>
      </w:r>
    </w:p>
    <w:p>
      <w:pPr>
        <w:pStyle w:val="ListParagraph"/>
        <w:numPr>
          <w:ilvl w:val="0"/>
          <w:numId w:val="2"/>
        </w:numPr>
        <w:spacing w:after="80"/>
      </w:pPr>
      <w:r>
        <w:t xml:space="preserve">Pause, resume, or stop copying a signal at any time.</w:t>
      </w:r>
    </w:p>
    <w:p>
      <w:pPr>
        <w:pStyle w:val="ListParagraph"/>
        <w:numPr>
          <w:ilvl w:val="0"/>
          <w:numId w:val="2"/>
        </w:numPr>
        <w:spacing w:after="80"/>
      </w:pPr>
      <w:r>
        <w:t xml:space="preserve">View performance history of copied signals (P&amp;L, win rate, active trades).</w:t>
      </w:r>
    </w:p>
    <w:p>
      <w:pPr>
        <w:spacing w:after="100" w:before="220"/>
      </w:pPr>
      <w:r>
        <w:rPr>
          <w:b/>
          <w:bCs/>
          <w:color w:val="2F5CE0"/>
          <w:sz w:val="24"/>
          <w:szCs w:val="24"/>
        </w:rPr>
        <w:t xml:space="preserve">3.5 Referral Earnings System</w:t>
      </w:r>
    </w:p>
    <w:p>
      <w:pPr>
        <w:pStyle w:val="ListParagraph"/>
        <w:numPr>
          <w:ilvl w:val="0"/>
          <w:numId w:val="2"/>
        </w:numPr>
        <w:spacing w:after="80"/>
      </w:pPr>
      <w:r>
        <w:t xml:space="preserve">Generate and share a unique referral link/code.</w:t>
      </w:r>
    </w:p>
    <w:p>
      <w:pPr>
        <w:pStyle w:val="ListParagraph"/>
        <w:numPr>
          <w:ilvl w:val="0"/>
          <w:numId w:val="2"/>
        </w:numPr>
        <w:spacing w:after="80"/>
      </w:pPr>
      <w:r>
        <w:t xml:space="preserve">Earn referral commission from direct (Tier 1) referrals as well as Tier 2 and Tier 3 referrals, with the commission percentage decreasing at each deeper tier.</w:t>
      </w:r>
    </w:p>
    <w:p>
      <w:pPr>
        <w:pStyle w:val="ListParagraph"/>
        <w:numPr>
          <w:ilvl w:val="0"/>
          <w:numId w:val="2"/>
        </w:numPr>
        <w:spacing w:after="80"/>
      </w:pPr>
      <w:r>
        <w:t xml:space="preserve">Commission is earned from both a referred user's deposits and their ongoing trading earnings — the more a downliner earns through trading, the more the referrer earns.</w:t>
      </w:r>
    </w:p>
    <w:p>
      <w:pPr>
        <w:pStyle w:val="ListParagraph"/>
        <w:numPr>
          <w:ilvl w:val="0"/>
          <w:numId w:val="2"/>
        </w:numPr>
        <w:spacing w:after="80"/>
      </w:pPr>
      <w:r>
        <w:t xml:space="preserve">Commission percentage varies according to the referrer's own membership level (higher levels earn a higher %).</w:t>
      </w:r>
    </w:p>
    <w:p>
      <w:pPr>
        <w:pStyle w:val="ListParagraph"/>
        <w:numPr>
          <w:ilvl w:val="0"/>
          <w:numId w:val="2"/>
        </w:numPr>
        <w:spacing w:after="80"/>
      </w:pPr>
      <w:r>
        <w:t xml:space="preserve">View a real-time referral earnings summary held in a separate referral earnings balance, with a combined total visible alongside the main wallet.</w:t>
      </w:r>
    </w:p>
    <w:p>
      <w:pPr>
        <w:spacing w:after="100" w:before="220"/>
      </w:pPr>
      <w:r>
        <w:rPr>
          <w:b/>
          <w:bCs/>
          <w:color w:val="2F5CE0"/>
          <w:sz w:val="24"/>
          <w:szCs w:val="24"/>
        </w:rPr>
        <w:t xml:space="preserve">3.6 Downliner Network View</w:t>
      </w:r>
    </w:p>
    <w:p>
      <w:pPr>
        <w:pStyle w:val="ListParagraph"/>
        <w:numPr>
          <w:ilvl w:val="0"/>
          <w:numId w:val="2"/>
        </w:numPr>
        <w:spacing w:after="80"/>
      </w:pPr>
      <w:r>
        <w:t xml:space="preserve">View the full downline tree, including indirect (Tier 2 / Tier 3) referrals, not just direct referrals.</w:t>
      </w:r>
    </w:p>
    <w:p>
      <w:pPr>
        <w:pStyle w:val="ListParagraph"/>
        <w:numPr>
          <w:ilvl w:val="0"/>
          <w:numId w:val="2"/>
        </w:numPr>
        <w:spacing w:after="80"/>
      </w:pPr>
      <w:r>
        <w:t xml:space="preserve">See each downliner's name.</w:t>
      </w:r>
    </w:p>
    <w:p>
      <w:pPr>
        <w:pStyle w:val="ListParagraph"/>
        <w:numPr>
          <w:ilvl w:val="0"/>
          <w:numId w:val="2"/>
        </w:numPr>
        <w:spacing w:after="80"/>
      </w:pPr>
      <w:r>
        <w:t xml:space="preserve">See the total commission earned from each individual downliner (their personal wallet balance is not shown).</w:t>
      </w:r>
    </w:p>
    <w:p>
      <w:pPr>
        <w:pStyle w:val="ListParagraph"/>
        <w:numPr>
          <w:ilvl w:val="0"/>
          <w:numId w:val="2"/>
        </w:numPr>
        <w:spacing w:after="80"/>
      </w:pPr>
      <w:r>
        <w:t xml:space="preserve">Filter/search within their downliner network.</w:t>
      </w:r>
    </w:p>
    <w:p>
      <w:pPr>
        <w:spacing w:after="100" w:before="220"/>
      </w:pPr>
      <w:r>
        <w:rPr>
          <w:b/>
          <w:bCs/>
          <w:color w:val="2F5CE0"/>
          <w:sz w:val="24"/>
          <w:szCs w:val="24"/>
        </w:rPr>
        <w:t xml:space="preserve">3.7 Membership Levels</w:t>
      </w:r>
    </w:p>
    <w:p>
      <w:pPr>
        <w:spacing w:after="140"/>
      </w:pPr>
      <w:r>
        <w:t xml:space="preserve">Users progress through five tiers, each unlocking a higher referral commission percentage. A level can be reached in one of two ways: organically, by growing team volume/active referrals, or instantly, by making a qualifying lump-sum deposit ("buy-in") — letting a user pay more upfront to start earning a higher commission rate immediately.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c>
          <w:tcPr>
            <w:tcW w:type="dxa" w:w="1800"/>
            <w:shd w:fill="EEF1F7" w:val="clear"/>
          </w:tcPr>
          <w:p>
            <w:r>
              <w:rPr>
                <w:b/>
                <w:bCs/>
                <w:sz w:val="20"/>
                <w:szCs w:val="20"/>
              </w:rPr>
              <w:t xml:space="preserve">Level</w:t>
            </w:r>
          </w:p>
        </w:tc>
        <w:tc>
          <w:tcPr>
            <w:tcW w:type="dxa" w:w="3775"/>
            <w:shd w:fill="EEF1F7" w:val="clear"/>
          </w:tcPr>
          <w:p>
            <w:r>
              <w:rPr>
                <w:b/>
                <w:bCs/>
                <w:sz w:val="20"/>
                <w:szCs w:val="20"/>
              </w:rPr>
              <w:t xml:space="preserve">Typical Qualifier</w:t>
            </w:r>
          </w:p>
        </w:tc>
        <w:tc>
          <w:tcPr>
            <w:tcW w:type="dxa" w:w="3775"/>
            <w:shd w:fill="EEF1F7" w:val="clear"/>
          </w:tcPr>
          <w:p>
            <w:r>
              <w:rPr>
                <w:b/>
                <w:bCs/>
                <w:sz w:val="20"/>
                <w:szCs w:val="20"/>
              </w:rPr>
              <w:t xml:space="preserve">Example Benefit</w:t>
            </w:r>
          </w:p>
        </w:tc>
      </w:tr>
      <w:tr>
        <w:tc>
          <w:tcPr>
            <w:tcW w:type="dxa" w:w="1800"/>
          </w:tcPr>
          <w:p>
            <w:r>
              <w:rPr>
                <w:b w:val="false"/>
                <w:bCs w:val="false"/>
                <w:sz w:val="20"/>
                <w:szCs w:val="20"/>
              </w:rPr>
              <w:t xml:space="preserve">Blue</w:t>
            </w:r>
          </w:p>
        </w:tc>
        <w:tc>
          <w:tcPr>
            <w:tcW w:type="dxa" w:w="3775"/>
          </w:tcPr>
          <w:p>
            <w:r>
              <w:rPr>
                <w:b w:val="false"/>
                <w:bCs w:val="false"/>
                <w:sz w:val="20"/>
                <w:szCs w:val="20"/>
              </w:rPr>
              <w:t xml:space="preserve">Default starting level on signup</w:t>
            </w:r>
          </w:p>
        </w:tc>
        <w:tc>
          <w:tcPr>
            <w:tcW w:type="dxa" w:w="3775"/>
          </w:tcPr>
          <w:p>
            <w:r>
              <w:rPr>
                <w:b w:val="false"/>
                <w:bCs w:val="false"/>
                <w:sz w:val="20"/>
                <w:szCs w:val="20"/>
              </w:rPr>
              <w:t xml:space="preserve">Base access to copy signals &amp; referrals</w:t>
            </w:r>
          </w:p>
        </w:tc>
      </w:tr>
      <w:tr>
        <w:tc>
          <w:tcPr>
            <w:tcW w:type="dxa" w:w="1800"/>
          </w:tcPr>
          <w:p>
            <w:r>
              <w:rPr>
                <w:b w:val="false"/>
                <w:bCs w:val="false"/>
                <w:sz w:val="20"/>
                <w:szCs w:val="20"/>
              </w:rPr>
              <w:t xml:space="preserve">Elite</w:t>
            </w:r>
          </w:p>
        </w:tc>
        <w:tc>
          <w:tcPr>
            <w:tcW w:type="dxa" w:w="3775"/>
          </w:tcPr>
          <w:p>
            <w:r>
              <w:rPr>
                <w:b w:val="false"/>
                <w:bCs w:val="false"/>
                <w:sz w:val="20"/>
                <w:szCs w:val="20"/>
              </w:rPr>
              <w:t xml:space="preserve">Deposit / referral threshold met</w:t>
            </w:r>
          </w:p>
        </w:tc>
        <w:tc>
          <w:tcPr>
            <w:tcW w:type="dxa" w:w="3775"/>
          </w:tcPr>
          <w:p>
            <w:r>
              <w:rPr>
                <w:b w:val="false"/>
                <w:bCs w:val="false"/>
                <w:sz w:val="20"/>
                <w:szCs w:val="20"/>
              </w:rPr>
              <w:t xml:space="preserve">Slightly improved referral commission</w:t>
            </w:r>
          </w:p>
        </w:tc>
      </w:tr>
      <w:tr>
        <w:tc>
          <w:tcPr>
            <w:tcW w:type="dxa" w:w="1800"/>
          </w:tcPr>
          <w:p>
            <w:r>
              <w:rPr>
                <w:b w:val="false"/>
                <w:bCs w:val="false"/>
                <w:sz w:val="20"/>
                <w:szCs w:val="20"/>
              </w:rPr>
              <w:t xml:space="preserve">Silver</w:t>
            </w:r>
          </w:p>
        </w:tc>
        <w:tc>
          <w:tcPr>
            <w:tcW w:type="dxa" w:w="3775"/>
          </w:tcPr>
          <w:p>
            <w:r>
              <w:rPr>
                <w:b w:val="false"/>
                <w:bCs w:val="false"/>
                <w:sz w:val="20"/>
                <w:szCs w:val="20"/>
              </w:rPr>
              <w:t xml:space="preserve">Higher deposit / team volume</w:t>
            </w:r>
          </w:p>
        </w:tc>
        <w:tc>
          <w:tcPr>
            <w:tcW w:type="dxa" w:w="3775"/>
          </w:tcPr>
          <w:p>
            <w:r>
              <w:rPr>
                <w:b w:val="false"/>
                <w:bCs w:val="false"/>
                <w:sz w:val="20"/>
                <w:szCs w:val="20"/>
              </w:rPr>
              <w:t xml:space="preserve">Access to more signal categories</w:t>
            </w:r>
          </w:p>
        </w:tc>
      </w:tr>
      <w:tr>
        <w:tc>
          <w:tcPr>
            <w:tcW w:type="dxa" w:w="1800"/>
          </w:tcPr>
          <w:p>
            <w:r>
              <w:rPr>
                <w:b w:val="false"/>
                <w:bCs w:val="false"/>
                <w:sz w:val="20"/>
                <w:szCs w:val="20"/>
              </w:rPr>
              <w:t xml:space="preserve">Gold</w:t>
            </w:r>
          </w:p>
        </w:tc>
        <w:tc>
          <w:tcPr>
            <w:tcW w:type="dxa" w:w="3775"/>
          </w:tcPr>
          <w:p>
            <w:r>
              <w:rPr>
                <w:b w:val="false"/>
                <w:bCs w:val="false"/>
                <w:sz w:val="20"/>
                <w:szCs w:val="20"/>
              </w:rPr>
              <w:t xml:space="preserve">Higher deposit / team volume</w:t>
            </w:r>
          </w:p>
        </w:tc>
        <w:tc>
          <w:tcPr>
            <w:tcW w:type="dxa" w:w="3775"/>
          </w:tcPr>
          <w:p>
            <w:r>
              <w:rPr>
                <w:b w:val="false"/>
                <w:bCs w:val="false"/>
                <w:sz w:val="20"/>
                <w:szCs w:val="20"/>
              </w:rPr>
              <w:t xml:space="preserve">Increased commission tier + faster withdrawal review</w:t>
            </w:r>
          </w:p>
        </w:tc>
      </w:tr>
      <w:tr>
        <w:tc>
          <w:tcPr>
            <w:tcW w:type="dxa" w:w="1800"/>
          </w:tcPr>
          <w:p>
            <w:r>
              <w:rPr>
                <w:b w:val="false"/>
                <w:bCs w:val="false"/>
                <w:sz w:val="20"/>
                <w:szCs w:val="20"/>
              </w:rPr>
              <w:t xml:space="preserve">Platinum</w:t>
            </w:r>
          </w:p>
        </w:tc>
        <w:tc>
          <w:tcPr>
            <w:tcW w:type="dxa" w:w="3775"/>
          </w:tcPr>
          <w:p>
            <w:r>
              <w:rPr>
                <w:b w:val="false"/>
                <w:bCs w:val="false"/>
                <w:sz w:val="20"/>
                <w:szCs w:val="20"/>
              </w:rPr>
              <w:t xml:space="preserve">Top-tier deposit / team volume</w:t>
            </w:r>
          </w:p>
        </w:tc>
        <w:tc>
          <w:tcPr>
            <w:tcW w:type="dxa" w:w="3775"/>
          </w:tcPr>
          <w:p>
            <w:r>
              <w:rPr>
                <w:b w:val="false"/>
                <w:bCs w:val="false"/>
                <w:sz w:val="20"/>
                <w:szCs w:val="20"/>
              </w:rPr>
              <w:t xml:space="preserve">Maximum commission tier + dedicated support</w:t>
            </w:r>
          </w:p>
        </w:tc>
      </w:tr>
    </w:tbl>
    <w:p>
      <w:pPr>
        <w:spacing w:after="120"/>
      </w:pPr>
    </w:p>
    <w:p>
      <w:pPr>
        <w:pStyle w:val="ListParagraph"/>
        <w:numPr>
          <w:ilvl w:val="0"/>
          <w:numId w:val="2"/>
        </w:numPr>
        <w:spacing w:after="80"/>
      </w:pPr>
      <w:r>
        <w:t xml:space="preserve">Users can view their current level, progress toward the next level, and level-specific benefits.</w:t>
      </w:r>
    </w:p>
    <w:p>
      <w:pPr>
        <w:pStyle w:val="ListParagraph"/>
        <w:numPr>
          <w:ilvl w:val="0"/>
          <w:numId w:val="2"/>
        </w:numPr>
        <w:spacing w:after="80"/>
      </w:pPr>
      <w:r>
        <w:t xml:space="preserve">Level badge is visible on the user's profile and (optionally) to their upline/downline.</w:t>
      </w:r>
    </w:p>
    <w:p>
      <w:pPr>
        <w:pStyle w:val="ListParagraph"/>
        <w:numPr>
          <w:ilvl w:val="0"/>
          <w:numId w:val="2"/>
        </w:numPr>
        <w:spacing w:after="80"/>
      </w:pPr>
      <w:r>
        <w:t xml:space="preserve">A level reached via buy-in is permanent, regardless of future activity.</w:t>
      </w:r>
    </w:p>
    <w:p>
      <w:pPr>
        <w:pStyle w:val="ListParagraph"/>
        <w:numPr>
          <w:ilvl w:val="0"/>
          <w:numId w:val="2"/>
        </w:numPr>
        <w:spacing w:after="80"/>
      </w:pPr>
      <w:r>
        <w:t xml:space="preserve">A level reached by climbing through trading/referral activity must be maintained through continued trading activity — a user can step back down if they go inactive.</w:t>
      </w:r>
    </w:p>
    <w:p>
      <w:pPr>
        <w:pStyle w:val="ListParagraph"/>
        <w:numPr>
          <w:ilvl w:val="0"/>
          <w:numId w:val="2"/>
        </w:numPr>
        <w:spacing w:after="80"/>
      </w:pPr>
      <w:r>
        <w:t xml:space="preserve">There is no periodic level reset; once retained, level status is lifetime.</w:t>
      </w:r>
    </w:p>
    <w:p>
      <w:pPr>
        <w:pStyle w:val="Heading1"/>
        <w:pBdr>
          <w:bottom w:val="single" w:color="D9DCE3" w:sz="6" w:space="4"/>
        </w:pBdr>
        <w:spacing w:after="140" w:before="320"/>
      </w:pPr>
      <w:r>
        <w:t xml:space="preserve">4. Admin-Facing Features (Web Dashboard)</w:t>
      </w:r>
    </w:p>
    <w:p>
      <w:pPr>
        <w:spacing w:after="100" w:before="220"/>
      </w:pPr>
      <w:r>
        <w:rPr>
          <w:b/>
          <w:bCs/>
          <w:color w:val="2F5CE0"/>
          <w:sz w:val="24"/>
          <w:szCs w:val="24"/>
        </w:rPr>
        <w:t xml:space="preserve">4.1 Dashboard Overview</w:t>
      </w:r>
    </w:p>
    <w:p>
      <w:pPr>
        <w:pStyle w:val="ListParagraph"/>
        <w:numPr>
          <w:ilvl w:val="0"/>
          <w:numId w:val="2"/>
        </w:numPr>
        <w:spacing w:after="80"/>
      </w:pPr>
      <w:r>
        <w:t xml:space="preserve">At-a-glance metrics: total users, total deposits, total withdrawals, active signals, total referral payouts.</w:t>
      </w:r>
    </w:p>
    <w:p>
      <w:pPr>
        <w:pStyle w:val="ListParagraph"/>
        <w:numPr>
          <w:ilvl w:val="0"/>
          <w:numId w:val="2"/>
        </w:numPr>
        <w:spacing w:after="80"/>
      </w:pPr>
      <w:r>
        <w:t xml:space="preserve">Growth charts (new users, deposit volume, withdrawal volume) over selectable time ranges.</w:t>
      </w:r>
    </w:p>
    <w:p>
      <w:pPr>
        <w:spacing w:after="100" w:before="220"/>
      </w:pPr>
      <w:r>
        <w:rPr>
          <w:b/>
          <w:bCs/>
          <w:color w:val="2F5CE0"/>
          <w:sz w:val="24"/>
          <w:szCs w:val="24"/>
        </w:rPr>
        <w:t xml:space="preserve">4.2 User Management</w:t>
      </w:r>
    </w:p>
    <w:p>
      <w:pPr>
        <w:pStyle w:val="ListParagraph"/>
        <w:numPr>
          <w:ilvl w:val="0"/>
          <w:numId w:val="2"/>
        </w:numPr>
        <w:spacing w:after="80"/>
      </w:pPr>
      <w:r>
        <w:t xml:space="preserve">View, search, and filter all registered users.</w:t>
      </w:r>
    </w:p>
    <w:p>
      <w:pPr>
        <w:pStyle w:val="ListParagraph"/>
        <w:numPr>
          <w:ilvl w:val="0"/>
          <w:numId w:val="2"/>
        </w:numPr>
        <w:spacing w:after="80"/>
      </w:pPr>
      <w:r>
        <w:t xml:space="preserve">View a user's full profile: wallet address(es), transaction history, referral tree, current level, copied signals.</w:t>
      </w:r>
    </w:p>
    <w:p>
      <w:pPr>
        <w:pStyle w:val="ListParagraph"/>
        <w:numPr>
          <w:ilvl w:val="0"/>
          <w:numId w:val="2"/>
        </w:numPr>
        <w:spacing w:after="80"/>
      </w:pPr>
      <w:r>
        <w:t xml:space="preserve">Manually adjust a user's level (with reason/audit log) when needed.</w:t>
      </w:r>
    </w:p>
    <w:p>
      <w:pPr>
        <w:pStyle w:val="ListParagraph"/>
        <w:numPr>
          <w:ilvl w:val="0"/>
          <w:numId w:val="2"/>
        </w:numPr>
        <w:spacing w:after="80"/>
      </w:pPr>
      <w:r>
        <w:t xml:space="preserve">Suspend, reactivate, or delete a user account.</w:t>
      </w:r>
    </w:p>
    <w:p>
      <w:pPr>
        <w:pStyle w:val="ListParagraph"/>
        <w:numPr>
          <w:ilvl w:val="0"/>
          <w:numId w:val="2"/>
        </w:numPr>
        <w:spacing w:after="80"/>
      </w:pPr>
      <w:r>
        <w:t xml:space="preserve">Reset user passwords / trigger security actions (e.g., force 2FA).</w:t>
      </w:r>
    </w:p>
    <w:p>
      <w:pPr>
        <w:spacing w:after="100" w:before="220"/>
      </w:pPr>
      <w:r>
        <w:rPr>
          <w:b/>
          <w:bCs/>
          <w:color w:val="2F5CE0"/>
          <w:sz w:val="24"/>
          <w:szCs w:val="24"/>
        </w:rPr>
        <w:t xml:space="preserve">4.3 Deposit &amp; Withdrawal Management</w:t>
      </w:r>
    </w:p>
    <w:p>
      <w:pPr>
        <w:pStyle w:val="ListParagraph"/>
        <w:numPr>
          <w:ilvl w:val="0"/>
          <w:numId w:val="2"/>
        </w:numPr>
        <w:spacing w:after="80"/>
      </w:pPr>
      <w:r>
        <w:t xml:space="preserve">View all deposits in real time with status and blockchain/payment confirmation details.</w:t>
      </w:r>
    </w:p>
    <w:p>
      <w:pPr>
        <w:pStyle w:val="ListParagraph"/>
        <w:numPr>
          <w:ilvl w:val="0"/>
          <w:numId w:val="2"/>
        </w:numPr>
        <w:spacing w:after="80"/>
      </w:pPr>
      <w:r>
        <w:t xml:space="preserve">Review, approve, or decline pending withdrawal requests within the 1–24hr SLA window.</w:t>
      </w:r>
    </w:p>
    <w:p>
      <w:pPr>
        <w:pStyle w:val="ListParagraph"/>
        <w:numPr>
          <w:ilvl w:val="0"/>
          <w:numId w:val="2"/>
        </w:numPr>
        <w:spacing w:after="80"/>
      </w:pPr>
      <w:r>
        <w:t xml:space="preserve">Set or adjust withdrawal limits (daily/per-transaction) globally or per user/level.</w:t>
      </w:r>
    </w:p>
    <w:p>
      <w:pPr>
        <w:pStyle w:val="ListParagraph"/>
        <w:numPr>
          <w:ilvl w:val="0"/>
          <w:numId w:val="2"/>
        </w:numPr>
        <w:spacing w:after="80"/>
      </w:pPr>
      <w:r>
        <w:t xml:space="preserve">View a full audit trail of every deposit and withdrawal action taken by admins.</w:t>
      </w:r>
    </w:p>
    <w:p>
      <w:pPr>
        <w:spacing w:after="100" w:before="220"/>
      </w:pPr>
      <w:r>
        <w:rPr>
          <w:b/>
          <w:bCs/>
          <w:color w:val="2F5CE0"/>
          <w:sz w:val="24"/>
          <w:szCs w:val="24"/>
        </w:rPr>
        <w:t xml:space="preserve">4.4 Wallet Management</w:t>
      </w:r>
    </w:p>
    <w:p>
      <w:pPr>
        <w:pStyle w:val="ListParagraph"/>
        <w:numPr>
          <w:ilvl w:val="0"/>
          <w:numId w:val="2"/>
        </w:numPr>
        <w:spacing w:after="80"/>
      </w:pPr>
      <w:r>
        <w:t xml:space="preserve">Monitor all auto-generated user wallet addresses and their balances.</w:t>
      </w:r>
    </w:p>
    <w:p>
      <w:pPr>
        <w:pStyle w:val="ListParagraph"/>
        <w:numPr>
          <w:ilvl w:val="0"/>
          <w:numId w:val="2"/>
        </w:numPr>
        <w:spacing w:after="80"/>
      </w:pPr>
      <w:r>
        <w:t xml:space="preserve">View consolidated/hot wallet balances used for processing withdrawals.</w:t>
      </w:r>
    </w:p>
    <w:p>
      <w:pPr>
        <w:pStyle w:val="ListParagraph"/>
        <w:numPr>
          <w:ilvl w:val="0"/>
          <w:numId w:val="2"/>
        </w:numPr>
        <w:spacing w:after="80"/>
      </w:pPr>
      <w:r>
        <w:t xml:space="preserve">Manually flag or investigate suspicious wallet activity.</w:t>
      </w:r>
    </w:p>
    <w:p>
      <w:pPr>
        <w:spacing w:after="100" w:before="220"/>
      </w:pPr>
      <w:r>
        <w:rPr>
          <w:b/>
          <w:bCs/>
          <w:color w:val="2F5CE0"/>
          <w:sz w:val="24"/>
          <w:szCs w:val="24"/>
        </w:rPr>
        <w:t xml:space="preserve">4.5 Copy Signal Management</w:t>
      </w:r>
    </w:p>
    <w:p>
      <w:pPr>
        <w:pStyle w:val="ListParagraph"/>
        <w:numPr>
          <w:ilvl w:val="0"/>
          <w:numId w:val="2"/>
        </w:numPr>
        <w:spacing w:after="80"/>
      </w:pPr>
      <w:r>
        <w:t xml:space="preserve">Create, edit, publish, or archive trading signals/strategies available for users to copy.</w:t>
      </w:r>
    </w:p>
    <w:p>
      <w:pPr>
        <w:pStyle w:val="ListParagraph"/>
        <w:numPr>
          <w:ilvl w:val="0"/>
          <w:numId w:val="2"/>
        </w:numPr>
        <w:spacing w:after="80"/>
      </w:pPr>
      <w:r>
        <w:t xml:space="preserve">View how many users are currently copying each signal.</w:t>
      </w:r>
    </w:p>
    <w:p>
      <w:pPr>
        <w:pStyle w:val="ListParagraph"/>
        <w:numPr>
          <w:ilvl w:val="0"/>
          <w:numId w:val="2"/>
        </w:numPr>
        <w:spacing w:after="80"/>
      </w:pPr>
      <w:r>
        <w:t xml:space="preserve">Monitor aggregate performance of each signal across all copiers.</w:t>
      </w:r>
    </w:p>
    <w:p>
      <w:pPr>
        <w:pStyle w:val="ListParagraph"/>
        <w:numPr>
          <w:ilvl w:val="0"/>
          <w:numId w:val="2"/>
        </w:numPr>
        <w:spacing w:after="80"/>
      </w:pPr>
      <w:r>
        <w:t xml:space="preserve">Restrict certain signals to specific membership levels (e.g., Gold and above only).</w:t>
      </w:r>
    </w:p>
    <w:p>
      <w:pPr>
        <w:spacing w:after="100" w:before="220"/>
      </w:pPr>
      <w:r>
        <w:rPr>
          <w:b/>
          <w:bCs/>
          <w:color w:val="2F5CE0"/>
          <w:sz w:val="24"/>
          <w:szCs w:val="24"/>
        </w:rPr>
        <w:t xml:space="preserve">4.6 Referral &amp; Level Management</w:t>
      </w:r>
    </w:p>
    <w:p>
      <w:pPr>
        <w:pStyle w:val="ListParagraph"/>
        <w:numPr>
          <w:ilvl w:val="0"/>
          <w:numId w:val="2"/>
        </w:numPr>
        <w:spacing w:after="80"/>
      </w:pPr>
      <w:r>
        <w:t xml:space="preserve">Configure referral commission percentages per level.</w:t>
      </w:r>
    </w:p>
    <w:p>
      <w:pPr>
        <w:pStyle w:val="ListParagraph"/>
        <w:numPr>
          <w:ilvl w:val="0"/>
          <w:numId w:val="2"/>
        </w:numPr>
        <w:spacing w:after="80"/>
      </w:pPr>
      <w:r>
        <w:t xml:space="preserve">Configure level qualification thresholds (deposit amount, team volume, referral count).</w:t>
      </w:r>
    </w:p>
    <w:p>
      <w:pPr>
        <w:pStyle w:val="ListParagraph"/>
        <w:numPr>
          <w:ilvl w:val="0"/>
          <w:numId w:val="2"/>
        </w:numPr>
        <w:spacing w:after="80"/>
      </w:pPr>
      <w:r>
        <w:t xml:space="preserve">View the full referral network map/tree for any user (uplines and downlines).</w:t>
      </w:r>
    </w:p>
    <w:p>
      <w:pPr>
        <w:pStyle w:val="ListParagraph"/>
        <w:numPr>
          <w:ilvl w:val="0"/>
          <w:numId w:val="2"/>
        </w:numPr>
        <w:spacing w:after="80"/>
      </w:pPr>
      <w:r>
        <w:t xml:space="preserve">Manually issue or adjust referral bonuses when necessary (with audit trail).</w:t>
      </w:r>
    </w:p>
    <w:p>
      <w:pPr>
        <w:spacing w:after="100" w:before="220"/>
      </w:pPr>
      <w:r>
        <w:rPr>
          <w:b/>
          <w:bCs/>
          <w:color w:val="2F5CE0"/>
          <w:sz w:val="24"/>
          <w:szCs w:val="24"/>
        </w:rPr>
        <w:t xml:space="preserve">4.7 Reports &amp; Analytics</w:t>
      </w:r>
    </w:p>
    <w:p>
      <w:pPr>
        <w:pStyle w:val="ListParagraph"/>
        <w:numPr>
          <w:ilvl w:val="0"/>
          <w:numId w:val="2"/>
        </w:numPr>
        <w:spacing w:after="80"/>
      </w:pPr>
      <w:r>
        <w:t xml:space="preserve">Export reports: users, deposits, withdrawals, referral payouts, signal performance.</w:t>
      </w:r>
    </w:p>
    <w:p>
      <w:pPr>
        <w:pStyle w:val="ListParagraph"/>
        <w:numPr>
          <w:ilvl w:val="0"/>
          <w:numId w:val="2"/>
        </w:numPr>
        <w:spacing w:after="80"/>
      </w:pPr>
      <w:r>
        <w:t xml:space="preserve">Filter reports by date range, level, or user status.</w:t>
      </w:r>
    </w:p>
    <w:p>
      <w:pPr>
        <w:spacing w:after="100" w:before="220"/>
      </w:pPr>
      <w:r>
        <w:rPr>
          <w:b/>
          <w:bCs/>
          <w:color w:val="2F5CE0"/>
          <w:sz w:val="24"/>
          <w:szCs w:val="24"/>
        </w:rPr>
        <w:t xml:space="preserve">4.8 Admin Roles &amp; Permissions</w:t>
      </w:r>
    </w:p>
    <w:p>
      <w:pPr>
        <w:pStyle w:val="ListParagraph"/>
        <w:numPr>
          <w:ilvl w:val="0"/>
          <w:numId w:val="2"/>
        </w:numPr>
        <w:spacing w:after="80"/>
      </w:pPr>
      <w:r>
        <w:t xml:space="preserve">Support multiple admin accounts with role-based access (e.g., Super Admin, Finance Admin, Support Admin).</w:t>
      </w:r>
    </w:p>
    <w:p>
      <w:pPr>
        <w:pStyle w:val="ListParagraph"/>
        <w:numPr>
          <w:ilvl w:val="0"/>
          <w:numId w:val="2"/>
        </w:numPr>
        <w:spacing w:after="80"/>
      </w:pPr>
      <w:r>
        <w:t xml:space="preserve">Activity log of all admin actions for accountability.</w:t>
      </w:r>
    </w:p>
    <w:p>
      <w:r>
        <w:br w:type="page"/>
      </w:r>
    </w:p>
    <w:p>
      <w:pPr>
        <w:pStyle w:val="Heading1"/>
        <w:pBdr>
          <w:bottom w:val="single" w:color="D9DCE3" w:sz="6" w:space="4"/>
        </w:pBdr>
        <w:spacing w:after="140" w:before="320"/>
      </w:pPr>
      <w:r>
        <w:t xml:space="preserve">5. Non-Functional Requirements</w:t>
      </w:r>
    </w:p>
    <w:p>
      <w:pPr>
        <w:pStyle w:val="ListParagraph"/>
        <w:numPr>
          <w:ilvl w:val="0"/>
          <w:numId w:val="2"/>
        </w:numPr>
        <w:spacing w:after="80"/>
      </w:pPr>
      <w:r>
        <w:t xml:space="preserve">Security: Encrypted storage of wallet keys/credentials, 2FA for users and mandatory 2FA for admins, secure session handling.</w:t>
      </w:r>
    </w:p>
    <w:p>
      <w:pPr>
        <w:pStyle w:val="ListParagraph"/>
        <w:numPr>
          <w:ilvl w:val="0"/>
          <w:numId w:val="2"/>
        </w:numPr>
        <w:spacing w:after="80"/>
      </w:pPr>
      <w:r>
        <w:t xml:space="preserve">Compliance: Basic KYC flow recommended before large withdrawals (to be scoped with client — may affect budget/timeline).</w:t>
      </w:r>
    </w:p>
    <w:p>
      <w:pPr>
        <w:pStyle w:val="ListParagraph"/>
        <w:numPr>
          <w:ilvl w:val="0"/>
          <w:numId w:val="2"/>
        </w:numPr>
        <w:spacing w:after="80"/>
      </w:pPr>
      <w:r>
        <w:t xml:space="preserve">Performance: Real-time or near-real-time balance and transaction status updates.</w:t>
      </w:r>
    </w:p>
    <w:p>
      <w:pPr>
        <w:pStyle w:val="ListParagraph"/>
        <w:numPr>
          <w:ilvl w:val="0"/>
          <w:numId w:val="2"/>
        </w:numPr>
        <w:spacing w:after="80"/>
      </w:pPr>
      <w:r>
        <w:t xml:space="preserve">Reliability: Withdrawal processing must reliably fall within the stated 1–24hr window, with alerts to admins if requests approach the SLA limit.</w:t>
      </w:r>
    </w:p>
    <w:p>
      <w:pPr>
        <w:pStyle w:val="ListParagraph"/>
        <w:numPr>
          <w:ilvl w:val="0"/>
          <w:numId w:val="2"/>
        </w:numPr>
        <w:spacing w:after="80"/>
      </w:pPr>
      <w:r>
        <w:t xml:space="preserve">Auditability: Every financial action (deposit credit, withdrawal approval, referral payout, manual level change) must be logged with an admin/system trail.</w:t>
      </w:r>
    </w:p>
    <w:p>
      <w:pPr>
        <w:pStyle w:val="Heading1"/>
        <w:pBdr>
          <w:bottom w:val="single" w:color="D9DCE3" w:sz="6" w:space="4"/>
        </w:pBdr>
        <w:spacing w:after="140" w:before="320"/>
      </w:pPr>
      <w:r>
        <w:t xml:space="preserve">6. Technical Considerations</w:t>
      </w:r>
    </w:p>
    <w:p>
      <w:pPr>
        <w:pStyle w:val="ListParagraph"/>
        <w:numPr>
          <w:ilvl w:val="0"/>
          <w:numId w:val="2"/>
        </w:numPr>
        <w:spacing w:after="80"/>
      </w:pPr>
      <w:r>
        <w:t xml:space="preserve">Individual wallet address generation typically requires integration with a wallet infrastructure provider or self-hosted node/HD wallet system (per supported asset).</w:t>
      </w:r>
    </w:p>
    <w:p>
      <w:pPr>
        <w:pStyle w:val="ListParagraph"/>
        <w:numPr>
          <w:ilvl w:val="0"/>
          <w:numId w:val="2"/>
        </w:numPr>
        <w:spacing w:after="80"/>
      </w:pPr>
      <w:r>
        <w:t xml:space="preserve">Copy Signals functionality requires either an in-house signal engine or integration with a broker/exchange API that supports trade mirroring.</w:t>
      </w:r>
    </w:p>
    <w:p>
      <w:pPr>
        <w:pStyle w:val="ListParagraph"/>
        <w:numPr>
          <w:ilvl w:val="0"/>
          <w:numId w:val="2"/>
        </w:numPr>
        <w:spacing w:after="80"/>
      </w:pPr>
      <w:r>
        <w:t xml:space="preserve">Mobile app to be built cross-platform (e.g., React Native/Flutter) to share business logic with the web app where possible and keep development efficient across both platforms.</w:t>
      </w:r>
    </w:p>
    <w:p>
      <w:pPr>
        <w:pStyle w:val="Heading1"/>
        <w:pBdr>
          <w:bottom w:val="single" w:color="D9DCE3" w:sz="6" w:space="4"/>
        </w:pBdr>
        <w:spacing w:after="140" w:before="320"/>
      </w:pPr>
      <w:r>
        <w:t xml:space="preserve">7. Referral &amp; Level Logic (Finalized)</w:t>
      </w:r>
    </w:p>
    <w:p>
      <w:pPr>
        <w:spacing w:after="100" w:before="220"/>
      </w:pPr>
      <w:r>
        <w:rPr>
          <w:b/>
          <w:bCs/>
          <w:color w:val="2F5CE0"/>
          <w:sz w:val="24"/>
          <w:szCs w:val="24"/>
        </w:rPr>
        <w:t xml:space="preserve">7.1 Referral Commission Structure</w:t>
      </w:r>
    </w:p>
    <w:p>
      <w:pPr>
        <w:pStyle w:val="ListParagraph"/>
        <w:numPr>
          <w:ilvl w:val="0"/>
          <w:numId w:val="2"/>
        </w:numPr>
        <w:spacing w:after="80"/>
      </w:pPr>
      <w:r>
        <w:t xml:space="preserve">Commission percentage varies by the referrer's membership level (Blue through Platinum).</w:t>
      </w:r>
    </w:p>
    <w:p>
      <w:pPr>
        <w:pStyle w:val="ListParagraph"/>
        <w:numPr>
          <w:ilvl w:val="0"/>
          <w:numId w:val="2"/>
        </w:numPr>
        <w:spacing w:after="80"/>
      </w:pPr>
      <w:r>
        <w:t xml:space="preserve">Commission is generated by both a referred user's deposits and their trading earnings.</w:t>
      </w:r>
    </w:p>
    <w:p>
      <w:pPr>
        <w:pStyle w:val="ListParagraph"/>
        <w:numPr>
          <w:ilvl w:val="0"/>
          <w:numId w:val="2"/>
        </w:numPr>
        <w:spacing w:after="80"/>
      </w:pPr>
      <w:r>
        <w:t xml:space="preserve">Commission is recurring/ongoing: the more a referred user earns through trading, the more the referrer continues to earn from that relationship (subject to review with the dev team, but locked in as the model for now).</w:t>
      </w:r>
    </w:p>
    <w:p>
      <w:pPr>
        <w:pStyle w:val="ListParagraph"/>
        <w:numPr>
          <w:ilvl w:val="0"/>
          <w:numId w:val="2"/>
        </w:numPr>
        <w:spacing w:after="80"/>
      </w:pPr>
      <w:r>
        <w:t xml:space="preserve">The referral tree pays out three tiers deep: Tier 1 (direct referral), Tier 2, and Tier 3 — with the commission percentage getting smaller at each deeper tier.</w:t>
      </w:r>
    </w:p>
    <w:p>
      <w:pPr>
        <w:spacing w:after="100" w:before="220"/>
      </w:pPr>
      <w:r>
        <w:rPr>
          <w:b/>
          <w:bCs/>
          <w:color w:val="2F5CE0"/>
          <w:sz w:val="24"/>
          <w:szCs w:val="24"/>
        </w:rPr>
        <w:t xml:space="preserve">7.2 Level Qualification</w:t>
      </w:r>
    </w:p>
    <w:p>
      <w:pPr>
        <w:pStyle w:val="ListParagraph"/>
        <w:numPr>
          <w:ilvl w:val="0"/>
          <w:numId w:val="2"/>
        </w:numPr>
        <w:spacing w:after="80"/>
      </w:pPr>
      <w:r>
        <w:t xml:space="preserve">A user can qualify for a level in two ways: (a) organically, through team volume and active referral growth, or (b) instantly, by making a large lump-sum deposit that places them directly at a chosen level.</w:t>
      </w:r>
    </w:p>
    <w:p>
      <w:pPr>
        <w:pStyle w:val="ListParagraph"/>
        <w:numPr>
          <w:ilvl w:val="0"/>
          <w:numId w:val="2"/>
        </w:numPr>
        <w:spacing w:after="80"/>
      </w:pPr>
      <w:r>
        <w:t xml:space="preserve">This lets a user effectively "buy in" to a higher commission percentage upfront if they prefer.</w:t>
      </w:r>
    </w:p>
    <w:p>
      <w:pPr>
        <w:pStyle w:val="ListParagraph"/>
        <w:numPr>
          <w:ilvl w:val="0"/>
          <w:numId w:val="2"/>
        </w:numPr>
        <w:spacing w:after="80"/>
      </w:pPr>
      <w:r>
        <w:t xml:space="preserve">Qualification thresholds are tiered (fixed cutoffs increasing per level).</w:t>
      </w:r>
    </w:p>
    <w:p>
      <w:pPr>
        <w:pStyle w:val="ListParagraph"/>
        <w:numPr>
          <w:ilvl w:val="0"/>
          <w:numId w:val="2"/>
        </w:numPr>
        <w:spacing w:after="80"/>
      </w:pPr>
      <w:r>
        <w:t xml:space="preserve">A level reached via direct buy-in is permanent, regardless of future activity.</w:t>
      </w:r>
    </w:p>
    <w:p>
      <w:pPr>
        <w:pStyle w:val="ListParagraph"/>
        <w:numPr>
          <w:ilvl w:val="0"/>
          <w:numId w:val="2"/>
        </w:numPr>
        <w:spacing w:after="80"/>
      </w:pPr>
      <w:r>
        <w:t xml:space="preserve">A level reached by climbing up organically must be maintained through continued trading activity — the user can be stepped back down if activity drops.</w:t>
      </w:r>
    </w:p>
    <w:p>
      <w:pPr>
        <w:pStyle w:val="ListParagraph"/>
        <w:numPr>
          <w:ilvl w:val="0"/>
          <w:numId w:val="2"/>
        </w:numPr>
        <w:spacing w:after="80"/>
      </w:pPr>
      <w:r>
        <w:t xml:space="preserve">There is no periodic reset; level status, once retained, lasts for the lifetime of the account.</w:t>
      </w:r>
    </w:p>
    <w:p>
      <w:pPr>
        <w:spacing w:after="100" w:before="220"/>
      </w:pPr>
      <w:r>
        <w:rPr>
          <w:b/>
          <w:bCs/>
          <w:color w:val="2F5CE0"/>
          <w:sz w:val="24"/>
          <w:szCs w:val="24"/>
        </w:rPr>
        <w:t xml:space="preserve">7.3 Downliner Visibility</w:t>
      </w:r>
    </w:p>
    <w:p>
      <w:pPr>
        <w:pStyle w:val="ListParagraph"/>
        <w:numPr>
          <w:ilvl w:val="0"/>
          <w:numId w:val="2"/>
        </w:numPr>
        <w:spacing w:after="80"/>
      </w:pPr>
      <w:r>
        <w:t xml:space="preserve">Users can see their full downline tree (Tier 1, 2, and 3), not just direct referrals.</w:t>
      </w:r>
    </w:p>
    <w:p>
      <w:pPr>
        <w:pStyle w:val="ListParagraph"/>
        <w:numPr>
          <w:ilvl w:val="0"/>
          <w:numId w:val="2"/>
        </w:numPr>
        <w:spacing w:after="80"/>
      </w:pPr>
      <w:r>
        <w:t xml:space="preserve">Each downliner is shown by name.</w:t>
      </w:r>
    </w:p>
    <w:p>
      <w:pPr>
        <w:pStyle w:val="ListParagraph"/>
        <w:numPr>
          <w:ilvl w:val="0"/>
          <w:numId w:val="2"/>
        </w:numPr>
        <w:spacing w:after="80"/>
      </w:pPr>
      <w:r>
        <w:t xml:space="preserve">Users see the total commission they've earned from each downliner — not that downliner's personal wallet balance.</w:t>
      </w:r>
    </w:p>
    <w:p>
      <w:pPr>
        <w:spacing w:after="100" w:before="220"/>
      </w:pPr>
      <w:r>
        <w:rPr>
          <w:b/>
          <w:bCs/>
          <w:color w:val="2F5CE0"/>
          <w:sz w:val="24"/>
          <w:szCs w:val="24"/>
        </w:rPr>
        <w:t xml:space="preserve">7.4 Payout Logic</w:t>
      </w:r>
    </w:p>
    <w:p>
      <w:pPr>
        <w:pStyle w:val="ListParagraph"/>
        <w:numPr>
          <w:ilvl w:val="0"/>
          <w:numId w:val="2"/>
        </w:numPr>
        <w:spacing w:after="80"/>
      </w:pPr>
      <w:r>
        <w:t xml:space="preserve">Referral earnings accrue in a separate referral earnings balance, distinct from the main trading/deposit wallet — though users can view a combined total across both.</w:t>
      </w:r>
    </w:p>
    <w:p>
      <w:pPr>
        <w:pStyle w:val="ListParagraph"/>
        <w:numPr>
          <w:ilvl w:val="0"/>
          <w:numId w:val="2"/>
        </w:numPr>
        <w:spacing w:after="80"/>
      </w:pPr>
      <w:r>
        <w:t xml:space="preserve">Referral earnings can be withdrawn directly, once the balance meets the platform's standard minimum withdrawal amount (the same minimum that applies platform-wide).</w:t>
      </w:r>
    </w:p>
    <w:p>
      <w:pPr>
        <w:spacing w:after="100" w:before="220"/>
      </w:pPr>
      <w:r>
        <w:rPr>
          <w:b/>
          <w:bCs/>
          <w:color w:val="2F5CE0"/>
          <w:sz w:val="24"/>
          <w:szCs w:val="24"/>
        </w:rPr>
        <w:t xml:space="preserve">7.5 Edge Cases</w:t>
      </w:r>
    </w:p>
    <w:p>
      <w:pPr>
        <w:pStyle w:val="ListParagraph"/>
        <w:numPr>
          <w:ilvl w:val="0"/>
          <w:numId w:val="2"/>
        </w:numPr>
        <w:spacing w:after="80"/>
      </w:pPr>
      <w:r>
        <w:t xml:space="preserve">If a referred user never deposits, the referrer earns nothing from that referral — there is no signup-only bonus.</w:t>
      </w:r>
    </w:p>
    <w:p>
      <w:pPr>
        <w:pStyle w:val="ListParagraph"/>
        <w:numPr>
          <w:ilvl w:val="0"/>
          <w:numId w:val="2"/>
        </w:numPr>
        <w:spacing w:after="80"/>
      </w:pPr>
      <w:r>
        <w:t xml:space="preserve">There is no cap on total referral earnings a user can accumulate.</w:t>
      </w:r>
    </w:p>
    <w:p>
      <w:pPr>
        <w:pStyle w:val="ListParagraph"/>
        <w:numPr>
          <w:ilvl w:val="0"/>
          <w:numId w:val="2"/>
        </w:numPr>
        <w:spacing w:after="80"/>
      </w:pPr>
      <w:r>
        <w:t xml:space="preserve">A user's referrer assignment is permanent and cannot be changed once set at signup.</w:t>
      </w:r>
    </w:p>
    <w:p>
      <w:pPr>
        <w:shd w:fill="EAF0FF" w:val="clear"/>
        <w:spacing w:after="200" w:before="160"/>
      </w:pPr>
      <w:r>
        <w:rPr>
          <w:b/>
          <w:bCs/>
          <w:sz w:val="20"/>
          <w:szCs w:val="20"/>
        </w:rPr>
        <w:t xml:space="preserve">Still to confirm: </w:t>
      </w:r>
      <w:r>
        <w:rPr>
          <w:sz w:val="20"/>
          <w:szCs w:val="20"/>
        </w:rPr>
        <w:t xml:space="preserve">The client has confirmed the referral and level logic above. The exact numeric values — commission percentage per level and per tier, and the specific deposit/team-volume thresholds for each level — are still needed from the client before this module can be built out and estimated in detail.</w:t>
      </w:r>
    </w:p>
    <w:p>
      <w:pPr>
        <w:pStyle w:val="Heading1"/>
        <w:pBdr>
          <w:bottom w:val="single" w:color="D9DCE3" w:sz="6" w:space="4"/>
        </w:pBdr>
        <w:spacing w:after="140" w:before="320"/>
      </w:pPr>
      <w:r>
        <w:t xml:space="preserve">8. Out of Scope (this phase)</w:t>
      </w:r>
    </w:p>
    <w:p>
      <w:pPr>
        <w:pStyle w:val="ListParagraph"/>
        <w:numPr>
          <w:ilvl w:val="0"/>
          <w:numId w:val="2"/>
        </w:numPr>
        <w:spacing w:after="80"/>
      </w:pPr>
      <w:r>
        <w:t xml:space="preserve">Native trading engine development (assumes signals are sourced/copied via an existing broker or provider API rather than built from scratch).</w:t>
      </w:r>
    </w:p>
    <w:p>
      <w:pPr>
        <w:pStyle w:val="ListParagraph"/>
        <w:numPr>
          <w:ilvl w:val="0"/>
          <w:numId w:val="2"/>
        </w:numPr>
        <w:spacing w:after="80"/>
      </w:pPr>
      <w:r>
        <w:t xml:space="preserve">Fiat payment gateway integration (unless confirmed as in-scope — may require additional budget).</w:t>
      </w:r>
    </w:p>
    <w:p>
      <w:pPr>
        <w:pStyle w:val="ListParagraph"/>
        <w:numPr>
          <w:ilvl w:val="0"/>
          <w:numId w:val="2"/>
        </w:numPr>
        <w:spacing w:after="80"/>
      </w:pPr>
      <w:r>
        <w:t xml:space="preserve">Multi-language support (assumes English-only unless specified otherwise).</w:t>
      </w:r>
    </w:p>
    <w:p>
      <w:pPr>
        <w:pBdr>
          <w:top w:val="single" w:color="D9DCE3" w:sz="6" w:space="8"/>
        </w:pBdr>
        <w:spacing w:before="300"/>
      </w:pPr>
      <w:r>
        <w:rPr>
          <w:i/>
          <w:iCs/>
          <w:color w:val="5A6070"/>
          <w:sz w:val="18"/>
          <w:szCs w:val="18"/>
        </w:rPr>
        <w:t xml:space="preserve">Product Requirements Document — Draft v1.0. Figures for level thresholds and commission percentages are placeholders pending client confirmation (see Section 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2026-09-16T07:12:50.542Z</dcterms:created>
  <dcterms:modified xsi:type="dcterms:W3CDTF">2026-09-16T07:12:50.551Z</dcterms:modified>
</cp:coreProperties>
</file>

<file path=docProps/custom.xml><?xml version="1.0" encoding="utf-8"?>
<Properties xmlns="http://schemas.openxmlformats.org/officeDocument/2006/custom-properties" xmlns:vt="http://schemas.openxmlformats.org/officeDocument/2006/docPropsVTypes"/>
</file>