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6F5F2"/>
  <w:body>
    <w:p w14:paraId="314351BE" w14:textId="5E5CAAA7" w:rsidR="002502D2" w:rsidRDefault="00000000">
      <w:pPr>
        <w:pStyle w:val="Ttulo1"/>
        <w:rPr>
          <w:rFonts w:ascii="IBM Plex Sans" w:eastAsia="IBM Plex Sans" w:hAnsi="IBM Plex Sans" w:cs="IBM Plex Sans"/>
          <w:color w:val="999999"/>
          <w:sz w:val="14"/>
          <w:szCs w:val="14"/>
          <w:highlight w:val="white"/>
        </w:rPr>
      </w:pPr>
      <w:bookmarkStart w:id="0" w:name="_w09riado97hl" w:colFirst="0" w:colLast="0"/>
      <w:bookmarkEnd w:id="0"/>
      <w:r>
        <w:rPr>
          <w:rFonts w:ascii="IBM Plex Sans" w:eastAsia="IBM Plex Sans" w:hAnsi="IBM Plex Sans" w:cs="IBM Plex Sans"/>
          <w:color w:val="000000"/>
          <w:sz w:val="30"/>
          <w:szCs w:val="30"/>
        </w:rPr>
        <w:t>MACHINE LEARNING CANVAS</w:t>
      </w:r>
      <w:r>
        <w:rPr>
          <w:rFonts w:ascii="IBM Plex Sans" w:eastAsia="IBM Plex Sans" w:hAnsi="IBM Plex Sans" w:cs="IBM Plex Sans"/>
          <w:color w:val="000000"/>
        </w:rPr>
        <w:t xml:space="preserve"> </w:t>
      </w:r>
      <w:r>
        <w:rPr>
          <w:rFonts w:ascii="IBM Plex Sans" w:eastAsia="IBM Plex Sans" w:hAnsi="IBM Plex Sans" w:cs="IBM Plex Sans"/>
        </w:rPr>
        <w:t xml:space="preserve">  </w:t>
      </w:r>
      <w:r>
        <w:rPr>
          <w:rFonts w:ascii="IBM Plex Sans" w:eastAsia="IBM Plex Sans" w:hAnsi="IBM Plex Sans" w:cs="IBM Plex Sans"/>
          <w:b w:val="0"/>
          <w:bCs w:val="0"/>
          <w:color w:val="B7B7B7"/>
          <w:sz w:val="16"/>
          <w:szCs w:val="16"/>
        </w:rPr>
        <w:t xml:space="preserve">     </w:t>
      </w:r>
      <w:r>
        <w:rPr>
          <w:rFonts w:ascii="IBM Plex Sans" w:eastAsia="IBM Plex Sans" w:hAnsi="IBM Plex Sans" w:cs="IBM Plex Sans"/>
        </w:rPr>
        <w:t xml:space="preserve">  </w:t>
      </w:r>
      <w:r>
        <w:rPr>
          <w:rFonts w:ascii="IBM Plex Sans" w:eastAsia="IBM Plex Sans" w:hAnsi="IBM Plex Sans" w:cs="IBM Plex Sans"/>
        </w:rPr>
        <w:tab/>
        <w:t xml:space="preserve">                             </w:t>
      </w:r>
      <w:r>
        <w:rPr>
          <w:rFonts w:ascii="IBM Plex Sans" w:eastAsia="IBM Plex Sans" w:hAnsi="IBM Plex Sans" w:cs="IBM Plex Sans"/>
          <w:b w:val="0"/>
          <w:bCs w:val="0"/>
          <w:color w:val="B7B7B7"/>
          <w:sz w:val="16"/>
          <w:szCs w:val="16"/>
        </w:rPr>
        <w:t xml:space="preserve">    </w:t>
      </w:r>
      <w:r>
        <w:rPr>
          <w:rFonts w:ascii="IBM Plex Sans" w:eastAsia="IBM Plex Sans" w:hAnsi="IBM Plex Sans" w:cs="IBM Plex Sans"/>
          <w:b w:val="0"/>
          <w:bCs w:val="0"/>
          <w:color w:val="999999"/>
          <w:sz w:val="14"/>
          <w:szCs w:val="14"/>
        </w:rPr>
        <w:t>Designed for:</w:t>
      </w:r>
      <w:r>
        <w:rPr>
          <w:rFonts w:ascii="IBM Plex Sans" w:eastAsia="IBM Plex Sans" w:hAnsi="IBM Plex Sans" w:cs="IBM Plex Sans"/>
          <w:b w:val="0"/>
          <w:bCs w:val="0"/>
          <w:color w:val="999999"/>
          <w:sz w:val="14"/>
          <w:szCs w:val="14"/>
          <w:highlight w:val="white"/>
        </w:rPr>
        <w:t xml:space="preserve"> </w:t>
      </w:r>
      <w:r w:rsidR="005837A7">
        <w:rPr>
          <w:rFonts w:ascii="IBM Plex Sans" w:eastAsia="IBM Plex Sans" w:hAnsi="IBM Plex Sans" w:cs="IBM Plex Sans"/>
          <w:b w:val="0"/>
          <w:bCs w:val="0"/>
          <w:color w:val="999999"/>
          <w:sz w:val="14"/>
          <w:szCs w:val="14"/>
          <w:highlight w:val="white"/>
        </w:rPr>
        <w:t>MiBici Guadalajara – Proyecto MLOps</w:t>
      </w:r>
      <w:r>
        <w:rPr>
          <w:rFonts w:ascii="IBM Plex Sans" w:eastAsia="IBM Plex Sans" w:hAnsi="IBM Plex Sans" w:cs="IBM Plex Sans"/>
          <w:b w:val="0"/>
          <w:bCs w:val="0"/>
          <w:color w:val="999999"/>
          <w:sz w:val="14"/>
          <w:szCs w:val="14"/>
          <w:highlight w:val="white"/>
        </w:rPr>
        <w:t xml:space="preserve">  </w:t>
      </w:r>
      <w:r>
        <w:rPr>
          <w:rFonts w:ascii="IBM Plex Sans" w:eastAsia="IBM Plex Sans" w:hAnsi="IBM Plex Sans" w:cs="IBM Plex Sans"/>
          <w:b w:val="0"/>
          <w:bCs w:val="0"/>
          <w:color w:val="999999"/>
          <w:sz w:val="14"/>
          <w:szCs w:val="14"/>
        </w:rPr>
        <w:t xml:space="preserve">   Designed by: </w:t>
      </w:r>
      <w:r>
        <w:rPr>
          <w:rFonts w:ascii="IBM Plex Sans" w:eastAsia="IBM Plex Sans" w:hAnsi="IBM Plex Sans" w:cs="IBM Plex Sans"/>
          <w:b w:val="0"/>
          <w:bCs w:val="0"/>
          <w:color w:val="999999"/>
          <w:sz w:val="14"/>
          <w:szCs w:val="14"/>
          <w:highlight w:val="white"/>
        </w:rPr>
        <w:t xml:space="preserve"> </w:t>
      </w:r>
      <w:r w:rsidR="005837A7">
        <w:rPr>
          <w:rFonts w:ascii="IBM Plex Sans" w:eastAsia="IBM Plex Sans" w:hAnsi="IBM Plex Sans" w:cs="IBM Plex Sans"/>
          <w:b w:val="0"/>
          <w:bCs w:val="0"/>
          <w:color w:val="999999"/>
          <w:sz w:val="14"/>
          <w:szCs w:val="14"/>
          <w:highlight w:val="white"/>
        </w:rPr>
        <w:t>Equipo 48 – TC5061</w:t>
      </w:r>
      <w:r>
        <w:rPr>
          <w:rFonts w:ascii="IBM Plex Sans" w:eastAsia="IBM Plex Sans" w:hAnsi="IBM Plex Sans" w:cs="IBM Plex Sans"/>
          <w:b w:val="0"/>
          <w:bCs w:val="0"/>
          <w:color w:val="999999"/>
          <w:sz w:val="14"/>
          <w:szCs w:val="14"/>
          <w:highlight w:val="white"/>
        </w:rPr>
        <w:t xml:space="preserve">                          </w:t>
      </w:r>
      <w:r>
        <w:rPr>
          <w:rFonts w:ascii="IBM Plex Sans" w:eastAsia="IBM Plex Sans" w:hAnsi="IBM Plex Sans" w:cs="IBM Plex Sans"/>
          <w:b w:val="0"/>
          <w:bCs w:val="0"/>
          <w:color w:val="999999"/>
          <w:sz w:val="14"/>
          <w:szCs w:val="14"/>
        </w:rPr>
        <w:t xml:space="preserve">  </w:t>
      </w:r>
      <w:r w:rsidR="005837A7">
        <w:rPr>
          <w:rFonts w:ascii="IBM Plex Sans" w:eastAsia="IBM Plex Sans" w:hAnsi="IBM Plex Sans" w:cs="IBM Plex Sans"/>
          <w:b w:val="0"/>
          <w:bCs w:val="0"/>
          <w:color w:val="999999"/>
          <w:sz w:val="14"/>
          <w:szCs w:val="14"/>
        </w:rPr>
        <w:t xml:space="preserve">     </w:t>
      </w:r>
      <w:r>
        <w:rPr>
          <w:rFonts w:ascii="IBM Plex Sans" w:eastAsia="IBM Plex Sans" w:hAnsi="IBM Plex Sans" w:cs="IBM Plex Sans"/>
          <w:b w:val="0"/>
          <w:bCs w:val="0"/>
          <w:color w:val="999999"/>
          <w:sz w:val="14"/>
          <w:szCs w:val="14"/>
        </w:rPr>
        <w:t xml:space="preserve">   Date: </w:t>
      </w:r>
      <w:r>
        <w:rPr>
          <w:rFonts w:ascii="IBM Plex Sans" w:eastAsia="IBM Plex Sans" w:hAnsi="IBM Plex Sans" w:cs="IBM Plex Sans"/>
          <w:b w:val="0"/>
          <w:bCs w:val="0"/>
          <w:color w:val="999999"/>
          <w:sz w:val="14"/>
          <w:szCs w:val="14"/>
          <w:highlight w:val="white"/>
        </w:rPr>
        <w:t xml:space="preserve">  </w:t>
      </w:r>
      <w:r w:rsidR="00EB587F">
        <w:rPr>
          <w:rFonts w:ascii="IBM Plex Sans" w:eastAsia="IBM Plex Sans" w:hAnsi="IBM Plex Sans" w:cs="IBM Plex Sans"/>
          <w:b w:val="0"/>
          <w:bCs w:val="0"/>
          <w:color w:val="999999"/>
          <w:sz w:val="14"/>
          <w:szCs w:val="14"/>
          <w:highlight w:val="white"/>
        </w:rPr>
        <w:t>14/10/2026</w:t>
      </w:r>
      <w:r>
        <w:rPr>
          <w:rFonts w:ascii="IBM Plex Sans" w:eastAsia="IBM Plex Sans" w:hAnsi="IBM Plex Sans" w:cs="IBM Plex Sans"/>
          <w:b w:val="0"/>
          <w:bCs w:val="0"/>
          <w:color w:val="999999"/>
          <w:sz w:val="14"/>
          <w:szCs w:val="14"/>
          <w:highlight w:val="white"/>
        </w:rPr>
        <w:t xml:space="preserve">                            </w:t>
      </w:r>
      <w:r>
        <w:rPr>
          <w:rFonts w:ascii="IBM Plex Sans" w:eastAsia="IBM Plex Sans" w:hAnsi="IBM Plex Sans" w:cs="IBM Plex Sans"/>
          <w:b w:val="0"/>
          <w:bCs w:val="0"/>
          <w:color w:val="999999"/>
          <w:sz w:val="14"/>
          <w:szCs w:val="14"/>
        </w:rPr>
        <w:t xml:space="preserve">  Iteration: </w:t>
      </w:r>
      <w:r>
        <w:rPr>
          <w:rFonts w:ascii="IBM Plex Sans" w:eastAsia="IBM Plex Sans" w:hAnsi="IBM Plex Sans" w:cs="IBM Plex Sans"/>
          <w:b w:val="0"/>
          <w:bCs w:val="0"/>
          <w:color w:val="999999"/>
          <w:sz w:val="14"/>
          <w:szCs w:val="14"/>
          <w:highlight w:val="white"/>
        </w:rPr>
        <w:t xml:space="preserve">        </w:t>
      </w:r>
      <w:r w:rsidR="00EB587F">
        <w:rPr>
          <w:rFonts w:ascii="IBM Plex Sans" w:eastAsia="IBM Plex Sans" w:hAnsi="IBM Plex Sans" w:cs="IBM Plex Sans"/>
          <w:b w:val="0"/>
          <w:bCs w:val="0"/>
          <w:color w:val="999999"/>
          <w:sz w:val="14"/>
          <w:szCs w:val="14"/>
          <w:highlight w:val="white"/>
        </w:rPr>
        <w:t>1</w:t>
      </w:r>
      <w:r>
        <w:rPr>
          <w:rFonts w:ascii="IBM Plex Sans" w:eastAsia="IBM Plex Sans" w:hAnsi="IBM Plex Sans" w:cs="IBM Plex Sans"/>
          <w:b w:val="0"/>
          <w:bCs w:val="0"/>
          <w:color w:val="999999"/>
          <w:sz w:val="14"/>
          <w:szCs w:val="14"/>
          <w:highlight w:val="white"/>
        </w:rPr>
        <w:t>.</w:t>
      </w:r>
      <w:r w:rsidR="005837A7">
        <w:rPr>
          <w:rFonts w:ascii="IBM Plex Sans" w:eastAsia="IBM Plex Sans" w:hAnsi="IBM Plex Sans" w:cs="IBM Plex Sans"/>
          <w:b w:val="0"/>
          <w:bCs w:val="0"/>
          <w:color w:val="999999"/>
          <w:sz w:val="14"/>
          <w:szCs w:val="14"/>
          <w:highlight w:val="white"/>
        </w:rPr>
        <w:t>0</w:t>
      </w:r>
    </w:p>
    <w:tbl>
      <w:tblPr>
        <w:tblStyle w:val="a"/>
        <w:tblW w:w="144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5"/>
        <w:gridCol w:w="2880"/>
        <w:gridCol w:w="2880"/>
        <w:gridCol w:w="2880"/>
        <w:gridCol w:w="2880"/>
      </w:tblGrid>
      <w:tr w:rsidR="002502D2" w:rsidRPr="0089516C" w14:paraId="3B7F4882" w14:textId="77777777" w:rsidTr="0089516C">
        <w:trPr>
          <w:trHeight w:val="4140"/>
          <w:jc w:val="center"/>
        </w:trPr>
        <w:tc>
          <w:tcPr>
            <w:tcW w:w="2955" w:type="dxa"/>
            <w:tcBorders>
              <w:top w:val="single" w:sz="24" w:space="0" w:color="000000"/>
              <w:left w:val="single" w:sz="24" w:space="0" w:color="000000"/>
            </w:tcBorders>
            <w:shd w:val="clear" w:color="auto" w:fill="FFFFFF"/>
            <w:tcMar>
              <w:top w:w="100" w:type="dxa"/>
              <w:left w:w="100" w:type="dxa"/>
              <w:bottom w:w="100" w:type="dxa"/>
              <w:right w:w="100" w:type="dxa"/>
            </w:tcMar>
          </w:tcPr>
          <w:p w14:paraId="7EA3C1E2" w14:textId="77777777" w:rsidR="002502D2" w:rsidRPr="0089516C" w:rsidRDefault="00000000" w:rsidP="0089516C">
            <w:pPr>
              <w:pStyle w:val="Ttulo2"/>
              <w:jc w:val="both"/>
              <w:rPr>
                <w:rFonts w:ascii="Arial" w:eastAsia="IBM Plex Sans" w:hAnsi="Arial" w:cs="Arial"/>
                <w:color w:val="000000" w:themeColor="text1"/>
                <w:sz w:val="15"/>
                <w:szCs w:val="15"/>
              </w:rPr>
            </w:pPr>
            <w:bookmarkStart w:id="1" w:name="_1h1dkvi2yfu9" w:colFirst="0" w:colLast="0"/>
            <w:bookmarkEnd w:id="1"/>
            <w:r w:rsidRPr="0089516C">
              <w:rPr>
                <w:rFonts w:ascii="Arial" w:eastAsia="IBM Plex Sans" w:hAnsi="Arial" w:cs="Arial"/>
                <w:color w:val="000000" w:themeColor="text1"/>
                <w:sz w:val="15"/>
                <w:szCs w:val="15"/>
              </w:rPr>
              <w:t>PREDICTION TASK</w:t>
            </w:r>
            <w:r w:rsidRPr="0089516C">
              <w:rPr>
                <w:rFonts w:ascii="Arial" w:hAnsi="Arial" w:cs="Arial"/>
                <w:noProof/>
                <w:color w:val="000000" w:themeColor="text1"/>
                <w:sz w:val="15"/>
                <w:szCs w:val="15"/>
              </w:rPr>
              <w:drawing>
                <wp:anchor distT="0" distB="0" distL="0" distR="0" simplePos="0" relativeHeight="251658240" behindDoc="0" locked="0" layoutInCell="1" hidden="0" allowOverlap="1" wp14:anchorId="13694AB9" wp14:editId="49644F0F">
                  <wp:simplePos x="0" y="0"/>
                  <wp:positionH relativeFrom="column">
                    <wp:posOffset>1390650</wp:posOffset>
                  </wp:positionH>
                  <wp:positionV relativeFrom="paragraph">
                    <wp:posOffset>0</wp:posOffset>
                  </wp:positionV>
                  <wp:extent cx="324000" cy="324000"/>
                  <wp:effectExtent l="0" t="0" r="0" b="0"/>
                  <wp:wrapSquare wrapText="bothSides" distT="0" distB="0" distL="0" distR="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324000" cy="324000"/>
                          </a:xfrm>
                          <a:prstGeom prst="rect">
                            <a:avLst/>
                          </a:prstGeom>
                          <a:ln/>
                        </pic:spPr>
                      </pic:pic>
                    </a:graphicData>
                  </a:graphic>
                </wp:anchor>
              </w:drawing>
            </w:r>
          </w:p>
          <w:p w14:paraId="084DD314" w14:textId="77777777" w:rsidR="0089516C" w:rsidRDefault="0089516C" w:rsidP="0089516C">
            <w:pPr>
              <w:pStyle w:val="Ttulo3"/>
              <w:jc w:val="both"/>
              <w:rPr>
                <w:rFonts w:ascii="Arial" w:eastAsia="IBM Plex Sans" w:hAnsi="Arial" w:cs="Arial"/>
                <w:color w:val="000000" w:themeColor="text1"/>
                <w:sz w:val="15"/>
                <w:szCs w:val="15"/>
              </w:rPr>
            </w:pPr>
          </w:p>
          <w:p w14:paraId="7BAF0531" w14:textId="381FE7AC" w:rsidR="00EB587F" w:rsidRPr="0089516C" w:rsidRDefault="00EB587F" w:rsidP="0089516C">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P1 — Regresión: Predecir la cantidad de viajes que iniciarán en cada estación de MiBici durante la siguiente hora. La variable objetivo será el número de salidas por estación-hora, obtenido mediante la agregación de viajes históricos.</w:t>
            </w:r>
          </w:p>
          <w:p w14:paraId="035AEB99" w14:textId="3B077D9D" w:rsidR="00EB587F" w:rsidRPr="0089516C" w:rsidRDefault="00EB587F" w:rsidP="0089516C">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P2 — Clasificación:</w:t>
            </w:r>
            <w:r w:rsidR="004921A4">
              <w:rPr>
                <w:rFonts w:ascii="Arial" w:eastAsia="IBM Plex Sans" w:hAnsi="Arial" w:cs="Arial"/>
                <w:color w:val="000000" w:themeColor="text1"/>
                <w:sz w:val="15"/>
                <w:szCs w:val="15"/>
              </w:rPr>
              <w:t xml:space="preserve"> </w:t>
            </w:r>
            <w:r w:rsidRPr="0089516C">
              <w:rPr>
                <w:rFonts w:ascii="Arial" w:eastAsia="IBM Plex Sans" w:hAnsi="Arial" w:cs="Arial"/>
                <w:color w:val="000000" w:themeColor="text1"/>
                <w:sz w:val="15"/>
                <w:szCs w:val="15"/>
              </w:rPr>
              <w:t>Estimar el riesgo de desequilibrio operativo de cada estación para la siguiente hora. La variable objetivo será una categoría de riesgo construida a partir de salidas, llegadas y capacidad de la estación. Dado que no existen registros de ocupación real, esta clasificación será una aproximación y no una medición directa de estaciones vacías o llenas.</w:t>
            </w:r>
          </w:p>
          <w:p w14:paraId="58F023CD" w14:textId="11FBF0D7" w:rsidR="00EB587F" w:rsidRPr="0089516C" w:rsidRDefault="00EB587F" w:rsidP="0089516C">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P3 — Clustering: Agrupar estaciones de MiBici según sus patrones históricos de utilización, considerando la distribución horaria de viajes, la intensidad de uso y el balance entre salidas y llegadas. No requiere una variable objetivo etiquetada.</w:t>
            </w:r>
          </w:p>
          <w:p w14:paraId="2C8B38C8" w14:textId="3FA358E9" w:rsidR="00EB587F" w:rsidRPr="0089516C" w:rsidRDefault="00EB587F" w:rsidP="0089516C">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Unidad de análisis: Estación-hora para P1 y P2; estación para P3.</w:t>
            </w:r>
          </w:p>
          <w:p w14:paraId="59C6F241" w14:textId="2452308D" w:rsidR="00EB587F" w:rsidRPr="0089516C" w:rsidRDefault="00EB587F" w:rsidP="0089516C">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Horizonte: Una hora para P1 y P2. Para P3 se analizará un periodo histórico de varios meses, aún por definir.</w:t>
            </w:r>
          </w:p>
          <w:p w14:paraId="415C8584" w14:textId="5A19AFDE" w:rsidR="002502D2" w:rsidRPr="0089516C" w:rsidRDefault="00EB587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Observación de resultados: Las salidas y llegadas se conocen al disponer de los registros del periodo correspondiente. Las etiquetas aproximadas de P2 se calculan retrospectivamente y los grupos de P3 se interpretan a partir de sus perfiles de uso.</w:t>
            </w:r>
          </w:p>
        </w:tc>
        <w:tc>
          <w:tcPr>
            <w:tcW w:w="2880" w:type="dxa"/>
            <w:tcBorders>
              <w:top w:val="single" w:sz="24" w:space="0" w:color="000000"/>
              <w:right w:val="single" w:sz="12" w:space="0" w:color="000000"/>
            </w:tcBorders>
            <w:shd w:val="clear" w:color="auto" w:fill="FFFFFF"/>
            <w:tcMar>
              <w:top w:w="100" w:type="dxa"/>
              <w:left w:w="100" w:type="dxa"/>
              <w:bottom w:w="100" w:type="dxa"/>
              <w:right w:w="100" w:type="dxa"/>
            </w:tcMar>
          </w:tcPr>
          <w:p w14:paraId="157AF857" w14:textId="77777777" w:rsidR="002502D2" w:rsidRPr="0089516C" w:rsidRDefault="00000000" w:rsidP="004921A4">
            <w:pPr>
              <w:pStyle w:val="Ttulo2"/>
              <w:jc w:val="both"/>
              <w:rPr>
                <w:rFonts w:ascii="Arial" w:eastAsia="IBM Plex Sans" w:hAnsi="Arial" w:cs="Arial"/>
                <w:color w:val="000000" w:themeColor="text1"/>
                <w:sz w:val="15"/>
                <w:szCs w:val="15"/>
              </w:rPr>
            </w:pPr>
            <w:bookmarkStart w:id="2" w:name="_zi43bbo66xa8" w:colFirst="0" w:colLast="0"/>
            <w:bookmarkEnd w:id="2"/>
            <w:r w:rsidRPr="0089516C">
              <w:rPr>
                <w:rFonts w:ascii="Arial" w:eastAsia="IBM Plex Sans" w:hAnsi="Arial" w:cs="Arial"/>
                <w:color w:val="000000" w:themeColor="text1"/>
                <w:sz w:val="15"/>
                <w:szCs w:val="15"/>
              </w:rPr>
              <w:t>DECISIONS</w:t>
            </w:r>
            <w:r w:rsidRPr="0089516C">
              <w:rPr>
                <w:rFonts w:ascii="Arial" w:hAnsi="Arial" w:cs="Arial"/>
                <w:noProof/>
                <w:color w:val="000000" w:themeColor="text1"/>
                <w:sz w:val="15"/>
                <w:szCs w:val="15"/>
              </w:rPr>
              <w:drawing>
                <wp:anchor distT="0" distB="0" distL="0" distR="0" simplePos="0" relativeHeight="251659264" behindDoc="0" locked="0" layoutInCell="1" hidden="0" allowOverlap="1" wp14:anchorId="2839C09A" wp14:editId="4A9E98BB">
                  <wp:simplePos x="0" y="0"/>
                  <wp:positionH relativeFrom="column">
                    <wp:posOffset>1371600</wp:posOffset>
                  </wp:positionH>
                  <wp:positionV relativeFrom="paragraph">
                    <wp:posOffset>0</wp:posOffset>
                  </wp:positionV>
                  <wp:extent cx="324000" cy="324000"/>
                  <wp:effectExtent l="0" t="0" r="0" b="0"/>
                  <wp:wrapSquare wrapText="bothSides" distT="0" distB="0" distL="0" distR="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24000" cy="324000"/>
                          </a:xfrm>
                          <a:prstGeom prst="rect">
                            <a:avLst/>
                          </a:prstGeom>
                          <a:ln/>
                        </pic:spPr>
                      </pic:pic>
                    </a:graphicData>
                  </a:graphic>
                </wp:anchor>
              </w:drawing>
            </w:r>
          </w:p>
          <w:p w14:paraId="114E8E0F" w14:textId="77777777" w:rsidR="004921A4" w:rsidRDefault="004921A4" w:rsidP="004921A4">
            <w:pPr>
              <w:pStyle w:val="Ttulo3"/>
              <w:jc w:val="both"/>
              <w:rPr>
                <w:rFonts w:ascii="Arial" w:eastAsia="IBM Plex Sans" w:hAnsi="Arial" w:cs="Arial"/>
                <w:color w:val="000000" w:themeColor="text1"/>
                <w:sz w:val="15"/>
                <w:szCs w:val="15"/>
              </w:rPr>
            </w:pPr>
            <w:bookmarkStart w:id="3" w:name="_n3znq0gcdzbg" w:colFirst="0" w:colLast="0"/>
            <w:bookmarkEnd w:id="3"/>
          </w:p>
          <w:p w14:paraId="6EB828E0" w14:textId="353D2061" w:rsidR="00EB587F" w:rsidRPr="0089516C" w:rsidRDefault="00EB587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P1 — Planificación de bicicletas: Utilizar las predicciones de demanda por estación y hora para identificar puntos con mayor actividad esperada y apoyar la planificación de la distribución de bicicletas y los recursos operativos.</w:t>
            </w:r>
          </w:p>
          <w:p w14:paraId="209375DD" w14:textId="16F7FEEE" w:rsidR="00EB587F" w:rsidRPr="0089516C" w:rsidRDefault="00EB587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P2 — Priorización del rebalanceo: Utilizar las categorías estimadas de riesgo de desequilibrio para generar alertas y priorizar estaciones que requieran revisión operativa. Las recomendaciones deberán contrastarse con la disponibilidad real de bicicletas antes de ejecutar movimientos.</w:t>
            </w:r>
          </w:p>
          <w:p w14:paraId="04F6E944" w14:textId="0F7B94FC" w:rsidR="00EB587F" w:rsidRPr="0089516C" w:rsidRDefault="00EB587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P3 — Planeación estratégica: Utilizar los grupos de estaciones con patrones de uso similares para diseñar estrategias diferenciadas de operación, analizar necesidades de infraestructura y apoyar decisiones de expansión del sistema.</w:t>
            </w:r>
          </w:p>
          <w:p w14:paraId="756CA92B" w14:textId="69A227D7" w:rsidR="002502D2" w:rsidRPr="0089516C" w:rsidRDefault="00EB587F" w:rsidP="004921A4">
            <w:pPr>
              <w:spacing w:after="200"/>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Mecanismo de decisión: Presentar los resultados en reportes y visualizaciones que permitan consultar la demanda estimada, los niveles aproximados de riesgo y los perfiles de estaciones. Las decisiones finales serán tomadas por los responsables operativos, considerando las restricciones de capacidad y recursos disponibles.</w:t>
            </w:r>
          </w:p>
        </w:tc>
        <w:tc>
          <w:tcPr>
            <w:tcW w:w="2880" w:type="dxa"/>
            <w:tcBorders>
              <w:top w:val="single" w:sz="24" w:space="0" w:color="000000"/>
              <w:left w:val="single" w:sz="12" w:space="0" w:color="000000"/>
              <w:bottom w:val="nil"/>
              <w:right w:val="single" w:sz="12" w:space="0" w:color="000000"/>
            </w:tcBorders>
            <w:shd w:val="clear" w:color="auto" w:fill="FFFFFF"/>
            <w:tcMar>
              <w:top w:w="100" w:type="dxa"/>
              <w:left w:w="100" w:type="dxa"/>
              <w:bottom w:w="100" w:type="dxa"/>
              <w:right w:w="100" w:type="dxa"/>
            </w:tcMar>
          </w:tcPr>
          <w:p w14:paraId="64A2C091" w14:textId="77777777" w:rsidR="002502D2" w:rsidRPr="0089516C" w:rsidRDefault="00000000" w:rsidP="004921A4">
            <w:pPr>
              <w:pStyle w:val="Ttulo2"/>
              <w:jc w:val="both"/>
              <w:rPr>
                <w:rFonts w:ascii="Arial" w:eastAsia="IBM Plex Sans" w:hAnsi="Arial" w:cs="Arial"/>
                <w:color w:val="000000" w:themeColor="text1"/>
                <w:sz w:val="15"/>
                <w:szCs w:val="15"/>
              </w:rPr>
            </w:pPr>
            <w:bookmarkStart w:id="4" w:name="_2awhjch1rrw2" w:colFirst="0" w:colLast="0"/>
            <w:bookmarkEnd w:id="4"/>
            <w:r w:rsidRPr="0089516C">
              <w:rPr>
                <w:rFonts w:ascii="Arial" w:eastAsia="IBM Plex Sans" w:hAnsi="Arial" w:cs="Arial"/>
                <w:color w:val="000000" w:themeColor="text1"/>
                <w:sz w:val="15"/>
                <w:szCs w:val="15"/>
              </w:rPr>
              <w:t>VALUE PROPOSITION</w:t>
            </w:r>
            <w:r w:rsidRPr="0089516C">
              <w:rPr>
                <w:rFonts w:ascii="Arial" w:hAnsi="Arial" w:cs="Arial"/>
                <w:noProof/>
                <w:color w:val="000000" w:themeColor="text1"/>
                <w:sz w:val="15"/>
                <w:szCs w:val="15"/>
              </w:rPr>
              <w:drawing>
                <wp:anchor distT="0" distB="0" distL="0" distR="0" simplePos="0" relativeHeight="251660288" behindDoc="0" locked="0" layoutInCell="1" hidden="0" allowOverlap="1" wp14:anchorId="41560E08" wp14:editId="1D65296B">
                  <wp:simplePos x="0" y="0"/>
                  <wp:positionH relativeFrom="column">
                    <wp:posOffset>1333500</wp:posOffset>
                  </wp:positionH>
                  <wp:positionV relativeFrom="paragraph">
                    <wp:posOffset>0</wp:posOffset>
                  </wp:positionV>
                  <wp:extent cx="360000" cy="360000"/>
                  <wp:effectExtent l="0" t="0" r="0" b="0"/>
                  <wp:wrapSquare wrapText="bothSides" distT="0" distB="0" distL="0" distR="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60000" cy="360000"/>
                          </a:xfrm>
                          <a:prstGeom prst="rect">
                            <a:avLst/>
                          </a:prstGeom>
                          <a:ln/>
                        </pic:spPr>
                      </pic:pic>
                    </a:graphicData>
                  </a:graphic>
                </wp:anchor>
              </w:drawing>
            </w:r>
          </w:p>
          <w:p w14:paraId="6E8A7B0B" w14:textId="77777777" w:rsidR="004921A4" w:rsidRDefault="004921A4" w:rsidP="004921A4">
            <w:pPr>
              <w:pStyle w:val="Ttulo3"/>
              <w:jc w:val="both"/>
              <w:rPr>
                <w:rFonts w:ascii="Arial" w:eastAsia="IBM Plex Sans" w:hAnsi="Arial" w:cs="Arial"/>
                <w:color w:val="000000" w:themeColor="text1"/>
                <w:sz w:val="15"/>
                <w:szCs w:val="15"/>
              </w:rPr>
            </w:pPr>
            <w:bookmarkStart w:id="5" w:name="_dxjs2hhn8jih" w:colFirst="0" w:colLast="0"/>
            <w:bookmarkEnd w:id="5"/>
          </w:p>
          <w:p w14:paraId="529B3E6C" w14:textId="519F544C"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El proyecto MiBici MLOps busca mejorar la planificación y eficiencia operativa del sistema de bicicletas públicas de Guadalajara mediante el análisis de datos históricos y técnicas de Machine Learning.</w:t>
            </w:r>
          </w:p>
          <w:p w14:paraId="02A66F05" w14:textId="6871D8D3"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 solución permitirá anticipar la demanda de bicicletas por estación y horario (P1), identificar posibles desequilibrios operativos mediante indicadores aproximados de riesgo (P2) y reconocer grupos de estaciones con patrones de uso similares (P3).</w:t>
            </w:r>
          </w:p>
          <w:p w14:paraId="357EA7F8" w14:textId="72980219"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Los principales beneficiarios serán los operadores del sistema, los equipos de rebalanceo y los responsables de planeación urbana.</w:t>
            </w:r>
          </w:p>
          <w:p w14:paraId="049AEC37" w14:textId="4C95650E"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Los resultados se presentarán mediante reportes y visualizaciones que faciliten la planificación de recursos, la priorización de estaciones y la identificación de oportunidades de mejora y expansión.</w:t>
            </w:r>
          </w:p>
          <w:p w14:paraId="09052605" w14:textId="4664A524" w:rsidR="002502D2" w:rsidRPr="0089516C" w:rsidRDefault="0046079F" w:rsidP="004921A4">
            <w:pPr>
              <w:spacing w:after="200"/>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Se espera contribuir a una distribución más eficiente de bicicletas, una mejor disponibilidad del servicio y decisiones fundamentadas en datos. Estos beneficios deberán validarse mediante evaluaciones antes de una implementación operativa.</w:t>
            </w:r>
          </w:p>
        </w:tc>
        <w:tc>
          <w:tcPr>
            <w:tcW w:w="2880" w:type="dxa"/>
            <w:tcBorders>
              <w:top w:val="single" w:sz="24" w:space="0" w:color="000000"/>
              <w:left w:val="single" w:sz="12" w:space="0" w:color="000000"/>
            </w:tcBorders>
            <w:shd w:val="clear" w:color="auto" w:fill="FFFFFF"/>
            <w:tcMar>
              <w:top w:w="100" w:type="dxa"/>
              <w:left w:w="100" w:type="dxa"/>
              <w:bottom w:w="100" w:type="dxa"/>
              <w:right w:w="100" w:type="dxa"/>
            </w:tcMar>
          </w:tcPr>
          <w:p w14:paraId="25903980" w14:textId="77777777" w:rsidR="002502D2" w:rsidRPr="0089516C" w:rsidRDefault="00000000">
            <w:pPr>
              <w:pStyle w:val="Ttulo2"/>
              <w:rPr>
                <w:rFonts w:ascii="Arial" w:eastAsia="IBM Plex Sans" w:hAnsi="Arial" w:cs="Arial"/>
                <w:color w:val="000000" w:themeColor="text1"/>
                <w:sz w:val="15"/>
                <w:szCs w:val="15"/>
              </w:rPr>
            </w:pPr>
            <w:bookmarkStart w:id="6" w:name="_xadehxe6m08r" w:colFirst="0" w:colLast="0"/>
            <w:bookmarkEnd w:id="6"/>
            <w:r w:rsidRPr="0089516C">
              <w:rPr>
                <w:rFonts w:ascii="Arial" w:eastAsia="IBM Plex Sans" w:hAnsi="Arial" w:cs="Arial"/>
                <w:color w:val="000000" w:themeColor="text1"/>
                <w:sz w:val="15"/>
                <w:szCs w:val="15"/>
              </w:rPr>
              <w:t>DATA COLLECTION</w:t>
            </w:r>
            <w:r w:rsidRPr="0089516C">
              <w:rPr>
                <w:rFonts w:ascii="Arial" w:hAnsi="Arial" w:cs="Arial"/>
                <w:noProof/>
                <w:color w:val="000000" w:themeColor="text1"/>
                <w:sz w:val="15"/>
                <w:szCs w:val="15"/>
              </w:rPr>
              <w:drawing>
                <wp:anchor distT="0" distB="0" distL="0" distR="0" simplePos="0" relativeHeight="251661312" behindDoc="0" locked="0" layoutInCell="1" hidden="0" allowOverlap="1" wp14:anchorId="4CF29F8C" wp14:editId="12DFA81C">
                  <wp:simplePos x="0" y="0"/>
                  <wp:positionH relativeFrom="column">
                    <wp:posOffset>1352550</wp:posOffset>
                  </wp:positionH>
                  <wp:positionV relativeFrom="paragraph">
                    <wp:posOffset>0</wp:posOffset>
                  </wp:positionV>
                  <wp:extent cx="324000" cy="324000"/>
                  <wp:effectExtent l="0" t="0" r="0" b="0"/>
                  <wp:wrapSquare wrapText="bothSides" distT="0" distB="0" distL="0" distR="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324000" cy="324000"/>
                          </a:xfrm>
                          <a:prstGeom prst="rect">
                            <a:avLst/>
                          </a:prstGeom>
                          <a:ln/>
                        </pic:spPr>
                      </pic:pic>
                    </a:graphicData>
                  </a:graphic>
                </wp:anchor>
              </w:drawing>
            </w:r>
          </w:p>
          <w:p w14:paraId="6DF1DD94" w14:textId="77777777" w:rsidR="004921A4" w:rsidRDefault="004921A4" w:rsidP="004921A4">
            <w:pPr>
              <w:pStyle w:val="Ttulo3"/>
              <w:jc w:val="both"/>
              <w:rPr>
                <w:rFonts w:ascii="Arial" w:eastAsia="IBM Plex Sans" w:hAnsi="Arial" w:cs="Arial"/>
                <w:color w:val="000000" w:themeColor="text1"/>
                <w:sz w:val="15"/>
                <w:szCs w:val="15"/>
              </w:rPr>
            </w:pPr>
          </w:p>
          <w:p w14:paraId="379C8BA7" w14:textId="72CE752B"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Los datos se obtendrán del portal oficial de datos abiertos de MiBici Guadalajara, mediante la descarga automatizada de archivos CSV mensuales de viajes y del catálogo de estaciones.</w:t>
            </w:r>
          </w:p>
          <w:p w14:paraId="07887CF7" w14:textId="7571DCF1"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 ingesta se implementará en Python mediante un pipeline reproducible que realizará la descarga, validación, normalización y conversión de los datos a formato Parquet, utilizando Polars para su procesamiento.</w:t>
            </w:r>
          </w:p>
          <w:p w14:paraId="0E1504AA" w14:textId="2C36002A"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Se conservarán los archivos originales y se generará un manifiesto con hashes SHA-256, periodos y cantidades de registros para garantizar la trazabilidad y el versionamiento de los datos.</w:t>
            </w:r>
          </w:p>
          <w:p w14:paraId="308972CF" w14:textId="2EB1136A"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Las variables objetivo se construirán mediante agregaciones temporales de salidas y llegadas (P1), indicadores aproximados de desequilibrio asociados a la capacidad de las estaciones (P2) y perfiles históricos de utilización (P3).</w:t>
            </w:r>
          </w:p>
          <w:p w14:paraId="1BDFE7D7" w14:textId="5A42A046"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 actualización se realizará cuando MiBici publique nuevos archivos, verificando su integridad y compatibilidad con el esquema esperado. Se utilizarán herramientas de código abierto y procesamiento local para mantener bajos los costos.</w:t>
            </w:r>
          </w:p>
          <w:p w14:paraId="35A62B22" w14:textId="77CDDB99" w:rsidR="002502D2"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Los identificadores de usuarios y demás datos personales no se incorporarán a los conjuntos analíticos cuando no sean necesarios para los objetivos del proyecto.</w:t>
            </w:r>
          </w:p>
        </w:tc>
        <w:tc>
          <w:tcPr>
            <w:tcW w:w="2880" w:type="dxa"/>
            <w:tcBorders>
              <w:top w:val="single" w:sz="24" w:space="0" w:color="000000"/>
              <w:right w:val="single" w:sz="24" w:space="0" w:color="000000"/>
            </w:tcBorders>
            <w:shd w:val="clear" w:color="auto" w:fill="FFFFFF"/>
            <w:tcMar>
              <w:top w:w="100" w:type="dxa"/>
              <w:left w:w="100" w:type="dxa"/>
              <w:bottom w:w="100" w:type="dxa"/>
              <w:right w:w="100" w:type="dxa"/>
            </w:tcMar>
          </w:tcPr>
          <w:p w14:paraId="42D184FA" w14:textId="77777777" w:rsidR="002502D2" w:rsidRPr="0089516C" w:rsidRDefault="00000000">
            <w:pPr>
              <w:pStyle w:val="Ttulo2"/>
              <w:rPr>
                <w:rFonts w:ascii="Arial" w:eastAsia="IBM Plex Sans" w:hAnsi="Arial" w:cs="Arial"/>
                <w:color w:val="000000" w:themeColor="text1"/>
                <w:sz w:val="15"/>
                <w:szCs w:val="15"/>
              </w:rPr>
            </w:pPr>
            <w:bookmarkStart w:id="7" w:name="_akf661vjm278" w:colFirst="0" w:colLast="0"/>
            <w:bookmarkEnd w:id="7"/>
            <w:r w:rsidRPr="0089516C">
              <w:rPr>
                <w:rFonts w:ascii="Arial" w:eastAsia="IBM Plex Sans" w:hAnsi="Arial" w:cs="Arial"/>
                <w:color w:val="000000" w:themeColor="text1"/>
                <w:sz w:val="15"/>
                <w:szCs w:val="15"/>
              </w:rPr>
              <w:t>DATA SOURCES</w:t>
            </w:r>
            <w:r w:rsidRPr="0089516C">
              <w:rPr>
                <w:rFonts w:ascii="Arial" w:hAnsi="Arial" w:cs="Arial"/>
                <w:noProof/>
                <w:color w:val="000000" w:themeColor="text1"/>
                <w:sz w:val="15"/>
                <w:szCs w:val="15"/>
              </w:rPr>
              <w:drawing>
                <wp:anchor distT="0" distB="0" distL="0" distR="0" simplePos="0" relativeHeight="251662336" behindDoc="0" locked="0" layoutInCell="1" hidden="0" allowOverlap="1" wp14:anchorId="29410361" wp14:editId="3E2B6579">
                  <wp:simplePos x="0" y="0"/>
                  <wp:positionH relativeFrom="column">
                    <wp:posOffset>1352550</wp:posOffset>
                  </wp:positionH>
                  <wp:positionV relativeFrom="paragraph">
                    <wp:posOffset>0</wp:posOffset>
                  </wp:positionV>
                  <wp:extent cx="324000" cy="324000"/>
                  <wp:effectExtent l="0" t="0" r="0" b="0"/>
                  <wp:wrapSquare wrapText="bothSides" distT="0" distB="0" distL="0" distR="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24000" cy="324000"/>
                          </a:xfrm>
                          <a:prstGeom prst="rect">
                            <a:avLst/>
                          </a:prstGeom>
                          <a:ln/>
                        </pic:spPr>
                      </pic:pic>
                    </a:graphicData>
                  </a:graphic>
                </wp:anchor>
              </w:drawing>
            </w:r>
          </w:p>
          <w:p w14:paraId="70E0AB04" w14:textId="77777777" w:rsidR="004921A4" w:rsidRDefault="004921A4" w:rsidP="004921A4">
            <w:pPr>
              <w:pStyle w:val="Ttulo3"/>
              <w:jc w:val="both"/>
              <w:rPr>
                <w:rFonts w:ascii="Arial" w:eastAsia="IBM Plex Sans" w:hAnsi="Arial" w:cs="Arial"/>
                <w:color w:val="000000" w:themeColor="text1"/>
                <w:sz w:val="15"/>
                <w:szCs w:val="15"/>
              </w:rPr>
            </w:pPr>
          </w:p>
          <w:p w14:paraId="322F88EC" w14:textId="07CDD2A5"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 fuente principal será el portal oficial de datos abiertos de MiBici Guadalajara (</w:t>
            </w:r>
            <w:hyperlink r:id="rId12" w:history="1">
              <w:r w:rsidRPr="0089516C">
                <w:rPr>
                  <w:rStyle w:val="Hipervnculo"/>
                  <w:rFonts w:ascii="Arial" w:eastAsia="IBM Plex Sans" w:hAnsi="Arial" w:cs="Arial"/>
                  <w:color w:val="000000" w:themeColor="text1"/>
                  <w:sz w:val="15"/>
                  <w:szCs w:val="15"/>
                </w:rPr>
                <w:t>https://mibici.net/es/datos-abiertos/</w:t>
              </w:r>
            </w:hyperlink>
            <w:r w:rsidRPr="0089516C">
              <w:rPr>
                <w:rFonts w:ascii="Arial" w:eastAsia="IBM Plex Sans" w:hAnsi="Arial" w:cs="Arial"/>
                <w:color w:val="000000" w:themeColor="text1"/>
                <w:sz w:val="15"/>
                <w:szCs w:val="15"/>
              </w:rPr>
              <w:t>), que publica archivos CSV con registros históricos de viajes y documentación de las estaciones.</w:t>
            </w:r>
          </w:p>
          <w:p w14:paraId="18CFEFFE" w14:textId="7E16AD39"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Los datos de viajes incluyen identificadores, fechas y horas de inicio y finalización, así como estaciones de origen y destino. Para el modelado se utilizarán principalmente las variables temporales y los identificadores de estaciones.</w:t>
            </w:r>
          </w:p>
          <w:p w14:paraId="584FF23E" w14:textId="47006722"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El catálogo de estaciones permitirá incorporar información de ubicación geográfica y capacidad, necesaria para el análisis espacial, la caracterización de estaciones y la construcción de indicadores aproximados de riesgo operativo.</w:t>
            </w:r>
          </w:p>
          <w:p w14:paraId="2A596481" w14:textId="75814DC1"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Las variables objetivo de P1 y P2 se derivarán de los registros históricos; P3 utilizará perfiles agregados de utilización sin etiquetas previas.</w:t>
            </w:r>
          </w:p>
          <w:p w14:paraId="164A4D2C" w14:textId="427175D1" w:rsidR="002502D2"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Se excluirán identificadores personales y variables demográficas que no sean necesarios para las preguntas del proyecto. No se dispone de registros de ocupación real de bicicletas por estación, por lo que P2 utilizará una aproximación explícitamente documentada.</w:t>
            </w:r>
          </w:p>
        </w:tc>
      </w:tr>
      <w:tr w:rsidR="002502D2" w:rsidRPr="0089516C" w14:paraId="0244F936" w14:textId="77777777" w:rsidTr="0089516C">
        <w:trPr>
          <w:trHeight w:val="4215"/>
          <w:jc w:val="center"/>
        </w:trPr>
        <w:tc>
          <w:tcPr>
            <w:tcW w:w="2955" w:type="dxa"/>
            <w:tcBorders>
              <w:left w:val="single" w:sz="24" w:space="0" w:color="000000"/>
              <w:bottom w:val="nil"/>
            </w:tcBorders>
            <w:shd w:val="clear" w:color="auto" w:fill="FFFFFF"/>
            <w:tcMar>
              <w:top w:w="100" w:type="dxa"/>
              <w:left w:w="100" w:type="dxa"/>
              <w:bottom w:w="100" w:type="dxa"/>
              <w:right w:w="100" w:type="dxa"/>
            </w:tcMar>
          </w:tcPr>
          <w:p w14:paraId="1D0D6D8F" w14:textId="77777777" w:rsidR="002502D2" w:rsidRPr="0089516C" w:rsidRDefault="00000000">
            <w:pPr>
              <w:pStyle w:val="Ttulo2"/>
              <w:rPr>
                <w:rFonts w:ascii="Arial" w:eastAsia="IBM Plex Sans" w:hAnsi="Arial" w:cs="Arial"/>
                <w:color w:val="000000" w:themeColor="text1"/>
                <w:sz w:val="15"/>
                <w:szCs w:val="15"/>
              </w:rPr>
            </w:pPr>
            <w:bookmarkStart w:id="8" w:name="_vz9cpjafdrq5" w:colFirst="0" w:colLast="0"/>
            <w:bookmarkEnd w:id="8"/>
            <w:r w:rsidRPr="0089516C">
              <w:rPr>
                <w:rFonts w:ascii="Arial" w:eastAsia="IBM Plex Sans" w:hAnsi="Arial" w:cs="Arial"/>
                <w:color w:val="000000" w:themeColor="text1"/>
                <w:sz w:val="15"/>
                <w:szCs w:val="15"/>
              </w:rPr>
              <w:lastRenderedPageBreak/>
              <w:t>IMPACT SIMULATION</w:t>
            </w:r>
            <w:r w:rsidRPr="0089516C">
              <w:rPr>
                <w:rFonts w:ascii="Arial" w:hAnsi="Arial" w:cs="Arial"/>
                <w:noProof/>
                <w:color w:val="000000" w:themeColor="text1"/>
                <w:sz w:val="15"/>
                <w:szCs w:val="15"/>
              </w:rPr>
              <w:drawing>
                <wp:anchor distT="0" distB="0" distL="0" distR="0" simplePos="0" relativeHeight="251663360" behindDoc="0" locked="0" layoutInCell="1" hidden="0" allowOverlap="1" wp14:anchorId="21E0A681" wp14:editId="42606AA5">
                  <wp:simplePos x="0" y="0"/>
                  <wp:positionH relativeFrom="column">
                    <wp:posOffset>1390650</wp:posOffset>
                  </wp:positionH>
                  <wp:positionV relativeFrom="paragraph">
                    <wp:posOffset>0</wp:posOffset>
                  </wp:positionV>
                  <wp:extent cx="324000" cy="324000"/>
                  <wp:effectExtent l="0" t="0" r="0" b="0"/>
                  <wp:wrapSquare wrapText="bothSides" distT="0" distB="0" distL="0" distR="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324000" cy="324000"/>
                          </a:xfrm>
                          <a:prstGeom prst="rect">
                            <a:avLst/>
                          </a:prstGeom>
                          <a:ln/>
                        </pic:spPr>
                      </pic:pic>
                    </a:graphicData>
                  </a:graphic>
                </wp:anchor>
              </w:drawing>
            </w:r>
          </w:p>
          <w:p w14:paraId="1CA5AC90" w14:textId="77777777" w:rsidR="004921A4" w:rsidRDefault="004921A4" w:rsidP="0046079F">
            <w:pPr>
              <w:pStyle w:val="Ttulo3"/>
              <w:rPr>
                <w:rFonts w:ascii="Arial" w:eastAsia="IBM Plex Sans" w:hAnsi="Arial" w:cs="Arial"/>
                <w:color w:val="000000" w:themeColor="text1"/>
                <w:sz w:val="15"/>
                <w:szCs w:val="15"/>
              </w:rPr>
            </w:pPr>
          </w:p>
          <w:p w14:paraId="11CFEE1C" w14:textId="1AD9CA89"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Se evaluará el impacto potencial de los modelos mediante simulaciones retrospectivas con datos históricos de MiBici, comparando sus resultados con estrategias de referencia (baselines).</w:t>
            </w:r>
          </w:p>
          <w:p w14:paraId="04B7500A" w14:textId="5201C7F2"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P1 — Regresión:</w:t>
            </w:r>
            <w:r w:rsidR="004921A4">
              <w:rPr>
                <w:rFonts w:ascii="Arial" w:eastAsia="IBM Plex Sans" w:hAnsi="Arial" w:cs="Arial"/>
                <w:color w:val="000000" w:themeColor="text1"/>
                <w:sz w:val="15"/>
                <w:szCs w:val="15"/>
              </w:rPr>
              <w:t xml:space="preserve"> </w:t>
            </w:r>
            <w:r w:rsidRPr="0089516C">
              <w:rPr>
                <w:rFonts w:ascii="Arial" w:eastAsia="IBM Plex Sans" w:hAnsi="Arial" w:cs="Arial"/>
                <w:color w:val="000000" w:themeColor="text1"/>
                <w:sz w:val="15"/>
                <w:szCs w:val="15"/>
              </w:rPr>
              <w:t>Se medirá la mejora en la precisión de la demanda estimada frente a un pronóstico histórico simple, analizando su utilidad para anticipar periodos de alta actividad.</w:t>
            </w:r>
          </w:p>
          <w:p w14:paraId="4450A047" w14:textId="6D862245"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P2 — Clasificación: Se evaluará la capacidad de identificar estaciones con indicadores elevados de desequilibrio, considerando los costos relativos de alertas falsas y riesgos no detectados. La simulación utilizará etiquetas aproximadas, no eventos reales de desabasto.</w:t>
            </w:r>
          </w:p>
          <w:p w14:paraId="75C942A1" w14:textId="1B2AA829"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P3 — Clustering: Se analizará la calidad, estabilidad e interpretabilidad de los grupos y su utilidad para diseñar estrategias diferenciadas por tipo de estación.</w:t>
            </w:r>
          </w:p>
          <w:p w14:paraId="4631ABEE" w14:textId="4E81FBDE"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Se considerarán costos operativos hipotéticos de rebalanceo, inspección y atención de alertas, documentando los supuestos utilizados.</w:t>
            </w:r>
          </w:p>
          <w:p w14:paraId="0E5D5DD4" w14:textId="6BA85EB8" w:rsidR="0046079F"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 solución se considerará candidata a implementación si supera los baselines, presenta resultados estables en periodos futuros y demuestra beneficios potenciales superiores a sus costos estimados.</w:t>
            </w:r>
          </w:p>
          <w:p w14:paraId="1480ACDB" w14:textId="2EE535CE" w:rsidR="002502D2" w:rsidRPr="0089516C" w:rsidRDefault="0046079F"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También se revisarán diferencias de desempeño entre zonas y horarios para evitar recomendaciones sistemáticamente desfavorables para determinadas áreas de la ciudad.</w:t>
            </w:r>
          </w:p>
        </w:tc>
        <w:tc>
          <w:tcPr>
            <w:tcW w:w="2880" w:type="dxa"/>
            <w:tcBorders>
              <w:bottom w:val="single" w:sz="12" w:space="0" w:color="000000"/>
              <w:right w:val="single" w:sz="12" w:space="0" w:color="000000"/>
            </w:tcBorders>
            <w:shd w:val="clear" w:color="auto" w:fill="FFFFFF"/>
            <w:tcMar>
              <w:top w:w="100" w:type="dxa"/>
              <w:left w:w="100" w:type="dxa"/>
              <w:bottom w:w="100" w:type="dxa"/>
              <w:right w:w="100" w:type="dxa"/>
            </w:tcMar>
          </w:tcPr>
          <w:p w14:paraId="27741AF6" w14:textId="77777777" w:rsidR="002502D2" w:rsidRPr="0089516C" w:rsidRDefault="00000000">
            <w:pPr>
              <w:pStyle w:val="Ttulo2"/>
              <w:rPr>
                <w:rFonts w:ascii="Arial" w:eastAsia="IBM Plex Sans" w:hAnsi="Arial" w:cs="Arial"/>
                <w:color w:val="000000" w:themeColor="text1"/>
                <w:sz w:val="15"/>
                <w:szCs w:val="15"/>
              </w:rPr>
            </w:pPr>
            <w:bookmarkStart w:id="9" w:name="_5s79pjkaaapc" w:colFirst="0" w:colLast="0"/>
            <w:bookmarkEnd w:id="9"/>
            <w:r w:rsidRPr="0089516C">
              <w:rPr>
                <w:rFonts w:ascii="Arial" w:eastAsia="IBM Plex Sans" w:hAnsi="Arial" w:cs="Arial"/>
                <w:color w:val="000000" w:themeColor="text1"/>
                <w:sz w:val="15"/>
                <w:szCs w:val="15"/>
              </w:rPr>
              <w:t>MAKING PREDICTIONS</w:t>
            </w:r>
            <w:r w:rsidRPr="0089516C">
              <w:rPr>
                <w:rFonts w:ascii="Arial" w:hAnsi="Arial" w:cs="Arial"/>
                <w:noProof/>
                <w:color w:val="000000" w:themeColor="text1"/>
                <w:sz w:val="15"/>
                <w:szCs w:val="15"/>
              </w:rPr>
              <w:drawing>
                <wp:anchor distT="0" distB="0" distL="0" distR="0" simplePos="0" relativeHeight="251664384" behindDoc="0" locked="0" layoutInCell="1" hidden="0" allowOverlap="1" wp14:anchorId="07E8163C" wp14:editId="6DA9AA8D">
                  <wp:simplePos x="0" y="0"/>
                  <wp:positionH relativeFrom="column">
                    <wp:posOffset>1371600</wp:posOffset>
                  </wp:positionH>
                  <wp:positionV relativeFrom="paragraph">
                    <wp:posOffset>0</wp:posOffset>
                  </wp:positionV>
                  <wp:extent cx="324000" cy="324000"/>
                  <wp:effectExtent l="0" t="0" r="0" b="0"/>
                  <wp:wrapSquare wrapText="bothSides" distT="0" distB="0" distL="0" distR="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324000" cy="324000"/>
                          </a:xfrm>
                          <a:prstGeom prst="rect">
                            <a:avLst/>
                          </a:prstGeom>
                          <a:ln/>
                        </pic:spPr>
                      </pic:pic>
                    </a:graphicData>
                  </a:graphic>
                </wp:anchor>
              </w:drawing>
            </w:r>
          </w:p>
          <w:p w14:paraId="44D439AF" w14:textId="77777777" w:rsidR="004921A4" w:rsidRDefault="004921A4" w:rsidP="004921A4">
            <w:pPr>
              <w:pStyle w:val="Ttulo3"/>
              <w:jc w:val="both"/>
              <w:rPr>
                <w:rFonts w:ascii="Arial" w:eastAsia="IBM Plex Sans" w:hAnsi="Arial" w:cs="Arial"/>
                <w:color w:val="000000" w:themeColor="text1"/>
                <w:sz w:val="15"/>
                <w:szCs w:val="15"/>
              </w:rPr>
            </w:pPr>
          </w:p>
          <w:p w14:paraId="42E77405" w14:textId="1CB5CC3D"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La generación de predicciones se realizará mediante procesamiento por lotes (batch), utilizando pipelines reproducibles desarrollados en Python.</w:t>
            </w:r>
          </w:p>
          <w:p w14:paraId="673EF24E" w14:textId="31587808"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P1 — Regresión: Estimará la cantidad de viajes que iniciarán en cada estación durante la siguiente hora, utilizando variables temporales y patrones históricos disponibles al momento de la predicción.</w:t>
            </w:r>
          </w:p>
          <w:p w14:paraId="33247F41" w14:textId="020721C6"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P2 — Clasificación: Generará categorías aproximadas de riesgo de desequilibrio por estación y hora, a partir de características históricas de salidas, llegadas y capacidad.</w:t>
            </w:r>
          </w:p>
          <w:p w14:paraId="28137B36" w14:textId="01C7EE45"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P3 — Clustering: Asignará estaciones a grupos según sus perfiles históricos de utilización, permitiendo analizar comportamientos similares y apoyar la planificación operativa.</w:t>
            </w:r>
          </w:p>
          <w:p w14:paraId="26E3307F" w14:textId="6E0C77B3"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Los modelos se ejecutarán inicialmente de manera local, con Python, Polars y Scikit-learn. MLflow permitirá registrar versiones, parámetros, métricas y artefactos de los experimentos.</w:t>
            </w:r>
          </w:p>
          <w:p w14:paraId="3ED930B9" w14:textId="6F58F56E"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Para P1 y P2 se evaluarán predicciones con horizonte de una hora mediante simulaciones históricas. P3 se actualizará cuando se incorporen nuevos periodos de datos.</w:t>
            </w:r>
          </w:p>
          <w:p w14:paraId="728F201B" w14:textId="2D2F0A3E" w:rsidR="002502D2" w:rsidRPr="0089516C" w:rsidRDefault="0089516C" w:rsidP="004921A4">
            <w:pPr>
              <w:pStyle w:val="Ttulo3"/>
              <w:jc w:val="both"/>
              <w:rPr>
                <w:rFonts w:ascii="Arial" w:eastAsia="IBM Plex Sans" w:hAnsi="Arial" w:cs="Arial"/>
                <w:b/>
                <w:bCs/>
                <w:color w:val="000000" w:themeColor="text1"/>
                <w:sz w:val="15"/>
                <w:szCs w:val="15"/>
              </w:rPr>
            </w:pPr>
            <w:r w:rsidRPr="004921A4">
              <w:rPr>
                <w:rFonts w:ascii="Arial" w:eastAsia="IBM Plex Sans" w:hAnsi="Arial" w:cs="Arial"/>
                <w:color w:val="000000" w:themeColor="text1"/>
                <w:sz w:val="15"/>
                <w:szCs w:val="15"/>
              </w:rPr>
              <w:t>Los resultados se almacenarán en archivos estructurados y podrán consultarse mediante reportes o visualizaciones. No se contempla inferencia en tiempo real durante esta etapa académica.</w:t>
            </w:r>
          </w:p>
        </w:tc>
        <w:tc>
          <w:tcPr>
            <w:tcW w:w="2880" w:type="dxa"/>
            <w:tcBorders>
              <w:top w:val="nil"/>
              <w:left w:val="single" w:sz="12" w:space="0" w:color="000000"/>
              <w:bottom w:val="single" w:sz="12" w:space="0" w:color="000000"/>
              <w:right w:val="single" w:sz="12" w:space="0" w:color="000000"/>
            </w:tcBorders>
            <w:shd w:val="clear" w:color="auto" w:fill="FFFFFF"/>
            <w:tcMar>
              <w:top w:w="100" w:type="dxa"/>
              <w:left w:w="100" w:type="dxa"/>
              <w:bottom w:w="100" w:type="dxa"/>
              <w:right w:w="100" w:type="dxa"/>
            </w:tcMar>
          </w:tcPr>
          <w:p w14:paraId="77CFAEEE" w14:textId="77777777" w:rsidR="002502D2" w:rsidRPr="0089516C" w:rsidRDefault="002502D2">
            <w:pPr>
              <w:spacing w:after="200"/>
              <w:rPr>
                <w:rFonts w:ascii="Arial" w:eastAsia="IBM Plex Sans" w:hAnsi="Arial" w:cs="Arial"/>
                <w:b/>
                <w:bCs/>
                <w:color w:val="000000" w:themeColor="text1"/>
                <w:sz w:val="15"/>
                <w:szCs w:val="15"/>
              </w:rPr>
            </w:pPr>
          </w:p>
        </w:tc>
        <w:tc>
          <w:tcPr>
            <w:tcW w:w="2880" w:type="dxa"/>
            <w:tcBorders>
              <w:left w:val="single" w:sz="12" w:space="0" w:color="000000"/>
              <w:bottom w:val="single" w:sz="12" w:space="0" w:color="000000"/>
            </w:tcBorders>
            <w:shd w:val="clear" w:color="auto" w:fill="FFFFFF"/>
            <w:tcMar>
              <w:top w:w="100" w:type="dxa"/>
              <w:left w:w="100" w:type="dxa"/>
              <w:bottom w:w="100" w:type="dxa"/>
              <w:right w:w="100" w:type="dxa"/>
            </w:tcMar>
          </w:tcPr>
          <w:p w14:paraId="7576DBB7" w14:textId="77777777" w:rsidR="002502D2" w:rsidRPr="0089516C" w:rsidRDefault="00000000">
            <w:pPr>
              <w:pStyle w:val="Ttulo2"/>
              <w:rPr>
                <w:rFonts w:ascii="Arial" w:eastAsia="IBM Plex Sans" w:hAnsi="Arial" w:cs="Arial"/>
                <w:color w:val="000000" w:themeColor="text1"/>
                <w:sz w:val="15"/>
                <w:szCs w:val="15"/>
              </w:rPr>
            </w:pPr>
            <w:bookmarkStart w:id="10" w:name="_81vf84j4p1ue" w:colFirst="0" w:colLast="0"/>
            <w:bookmarkEnd w:id="10"/>
            <w:r w:rsidRPr="0089516C">
              <w:rPr>
                <w:rFonts w:ascii="Arial" w:eastAsia="IBM Plex Sans" w:hAnsi="Arial" w:cs="Arial"/>
                <w:color w:val="000000" w:themeColor="text1"/>
                <w:sz w:val="15"/>
                <w:szCs w:val="15"/>
              </w:rPr>
              <w:t>BUILDING MODELS</w:t>
            </w:r>
            <w:r w:rsidRPr="0089516C">
              <w:rPr>
                <w:rFonts w:ascii="Arial" w:hAnsi="Arial" w:cs="Arial"/>
                <w:noProof/>
                <w:color w:val="000000" w:themeColor="text1"/>
                <w:sz w:val="15"/>
                <w:szCs w:val="15"/>
              </w:rPr>
              <w:drawing>
                <wp:anchor distT="0" distB="0" distL="0" distR="0" simplePos="0" relativeHeight="251665408" behindDoc="0" locked="0" layoutInCell="1" hidden="0" allowOverlap="1" wp14:anchorId="2100CA40" wp14:editId="365BC9CD">
                  <wp:simplePos x="0" y="0"/>
                  <wp:positionH relativeFrom="column">
                    <wp:posOffset>1352550</wp:posOffset>
                  </wp:positionH>
                  <wp:positionV relativeFrom="paragraph">
                    <wp:posOffset>0</wp:posOffset>
                  </wp:positionV>
                  <wp:extent cx="324000" cy="324000"/>
                  <wp:effectExtent l="0" t="0" r="0" b="0"/>
                  <wp:wrapSquare wrapText="bothSides" distT="0" distB="0" distL="0" distR="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24000" cy="324000"/>
                          </a:xfrm>
                          <a:prstGeom prst="rect">
                            <a:avLst/>
                          </a:prstGeom>
                          <a:ln/>
                        </pic:spPr>
                      </pic:pic>
                    </a:graphicData>
                  </a:graphic>
                </wp:anchor>
              </w:drawing>
            </w:r>
          </w:p>
          <w:p w14:paraId="4526B44A" w14:textId="77777777" w:rsidR="004921A4" w:rsidRDefault="004921A4" w:rsidP="004921A4">
            <w:pPr>
              <w:pStyle w:val="Ttulo3"/>
              <w:jc w:val="both"/>
              <w:rPr>
                <w:rFonts w:ascii="Arial" w:eastAsia="IBM Plex Sans" w:hAnsi="Arial" w:cs="Arial"/>
                <w:color w:val="000000" w:themeColor="text1"/>
                <w:sz w:val="15"/>
                <w:szCs w:val="15"/>
              </w:rPr>
            </w:pPr>
          </w:p>
          <w:p w14:paraId="4320281B" w14:textId="78DF5D8F"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Se desarrollarán tres pipelines de Machine Learning en Python y Scikit-learn, con preprocesamiento, entrenamiento y evaluación reproducibles.</w:t>
            </w:r>
          </w:p>
          <w:p w14:paraId="3DF13540" w14:textId="3436173C"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P1 — Regresión: Se utilizará un baseline basado en promedios históricos por estación y horario. Se evaluarán modelos candidatos como Random Forest Regressor y HistGradientBoostingRegressor para predecir la cantidad de viajes por estación-hora.</w:t>
            </w:r>
          </w:p>
          <w:p w14:paraId="082AB1E9" w14:textId="0C2BAC72"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P2 — Clasificación: Se establecerá un baseline de clase mayoritaria o reglas simples de flujo neto. Se evaluarán Logistic Regression y Random Forest Classifier para estimar categorías aproximadas de riesgo de desequilibrio.</w:t>
            </w:r>
          </w:p>
          <w:p w14:paraId="0B3A47F8" w14:textId="1F1794FD"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P3 — Clustering: Se utilizará un agrupamiento de referencia y se evaluarán K-Means y Agglomerative Clustering para identificar perfiles de estaciones según sus patrones de uso.</w:t>
            </w:r>
          </w:p>
          <w:p w14:paraId="3573E11B" w14:textId="66BB716B"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Los datos se dividirán cronológicamente en entrenamiento, validación y prueba para evitar fuga de información. Las transformaciones se ajustarán únicamente con datos de entrenamiento.</w:t>
            </w:r>
          </w:p>
          <w:p w14:paraId="54C19E99" w14:textId="3FFB08F6" w:rsidR="0089516C" w:rsidRPr="004921A4"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Se utilizará MLflow para registrar parámetros, métricas, versiones de datos, semillas, identificadores de Git y artefactos de cada experimento.</w:t>
            </w:r>
          </w:p>
          <w:p w14:paraId="56BA0783" w14:textId="22EE3EF5" w:rsidR="002502D2" w:rsidRPr="0089516C" w:rsidRDefault="0089516C" w:rsidP="004921A4">
            <w:pPr>
              <w:pStyle w:val="Ttulo3"/>
              <w:jc w:val="both"/>
              <w:rPr>
                <w:rFonts w:ascii="Arial" w:eastAsia="IBM Plex Sans" w:hAnsi="Arial" w:cs="Arial"/>
                <w:color w:val="000000" w:themeColor="text1"/>
                <w:sz w:val="15"/>
                <w:szCs w:val="15"/>
              </w:rPr>
            </w:pPr>
            <w:r w:rsidRPr="004921A4">
              <w:rPr>
                <w:rFonts w:ascii="Arial" w:eastAsia="IBM Plex Sans" w:hAnsi="Arial" w:cs="Arial"/>
                <w:color w:val="000000" w:themeColor="text1"/>
                <w:sz w:val="15"/>
                <w:szCs w:val="15"/>
              </w:rPr>
              <w:t>El reentrenamiento se propondrá al incorporar nuevos datos mensuales o detectar deterioro del desempeño. Inicialmente se ejecutará en un equipo local, sin requerir infraestructura de cómputo distribuido.</w:t>
            </w:r>
          </w:p>
        </w:tc>
        <w:tc>
          <w:tcPr>
            <w:tcW w:w="2880" w:type="dxa"/>
            <w:tcBorders>
              <w:bottom w:val="nil"/>
              <w:right w:val="single" w:sz="24" w:space="0" w:color="000000"/>
            </w:tcBorders>
            <w:shd w:val="clear" w:color="auto" w:fill="FFFFFF"/>
            <w:tcMar>
              <w:top w:w="100" w:type="dxa"/>
              <w:left w:w="100" w:type="dxa"/>
              <w:bottom w:w="100" w:type="dxa"/>
              <w:right w:w="100" w:type="dxa"/>
            </w:tcMar>
          </w:tcPr>
          <w:p w14:paraId="39BF0B60" w14:textId="77777777" w:rsidR="002502D2" w:rsidRPr="0089516C" w:rsidRDefault="00000000">
            <w:pPr>
              <w:pStyle w:val="Ttulo2"/>
              <w:rPr>
                <w:rFonts w:ascii="Arial" w:eastAsia="IBM Plex Sans" w:hAnsi="Arial" w:cs="Arial"/>
                <w:color w:val="000000" w:themeColor="text1"/>
                <w:sz w:val="15"/>
                <w:szCs w:val="15"/>
              </w:rPr>
            </w:pPr>
            <w:bookmarkStart w:id="11" w:name="_4e49g6s44q5h" w:colFirst="0" w:colLast="0"/>
            <w:bookmarkEnd w:id="11"/>
            <w:r w:rsidRPr="0089516C">
              <w:rPr>
                <w:rFonts w:ascii="Arial" w:eastAsia="IBM Plex Sans" w:hAnsi="Arial" w:cs="Arial"/>
                <w:color w:val="000000" w:themeColor="text1"/>
                <w:sz w:val="15"/>
                <w:szCs w:val="15"/>
              </w:rPr>
              <w:t>FEATURES</w:t>
            </w:r>
            <w:r w:rsidRPr="0089516C">
              <w:rPr>
                <w:rFonts w:ascii="Arial" w:hAnsi="Arial" w:cs="Arial"/>
                <w:noProof/>
                <w:color w:val="000000" w:themeColor="text1"/>
                <w:sz w:val="15"/>
                <w:szCs w:val="15"/>
              </w:rPr>
              <w:drawing>
                <wp:anchor distT="0" distB="0" distL="0" distR="0" simplePos="0" relativeHeight="251666432" behindDoc="0" locked="0" layoutInCell="1" hidden="0" allowOverlap="1" wp14:anchorId="7A597B0F" wp14:editId="55D2FA7D">
                  <wp:simplePos x="0" y="0"/>
                  <wp:positionH relativeFrom="column">
                    <wp:posOffset>1352550</wp:posOffset>
                  </wp:positionH>
                  <wp:positionV relativeFrom="paragraph">
                    <wp:posOffset>0</wp:posOffset>
                  </wp:positionV>
                  <wp:extent cx="324000" cy="324000"/>
                  <wp:effectExtent l="0" t="0" r="0" b="0"/>
                  <wp:wrapSquare wrapText="bothSides" distT="0" distB="0" distL="0" distR="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324000" cy="324000"/>
                          </a:xfrm>
                          <a:prstGeom prst="rect">
                            <a:avLst/>
                          </a:prstGeom>
                          <a:ln/>
                        </pic:spPr>
                      </pic:pic>
                    </a:graphicData>
                  </a:graphic>
                </wp:anchor>
              </w:drawing>
            </w:r>
          </w:p>
          <w:p w14:paraId="664F85EC" w14:textId="77777777" w:rsidR="004921A4" w:rsidRDefault="004921A4" w:rsidP="004921A4">
            <w:pPr>
              <w:pStyle w:val="Ttulo3"/>
              <w:jc w:val="both"/>
              <w:rPr>
                <w:rFonts w:ascii="Arial" w:eastAsia="IBM Plex Sans" w:hAnsi="Arial" w:cs="Arial"/>
                <w:color w:val="000000" w:themeColor="text1"/>
                <w:sz w:val="15"/>
                <w:szCs w:val="15"/>
              </w:rPr>
            </w:pPr>
          </w:p>
          <w:p w14:paraId="18F8F49E" w14:textId="13D1AE7D" w:rsidR="0089516C" w:rsidRPr="0089516C" w:rsidRDefault="0089516C"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Las características se construirán a partir de los registros históricos de viajes de MiBici y del catálogo oficial de estaciones.</w:t>
            </w:r>
          </w:p>
          <w:p w14:paraId="528E480B" w14:textId="45F401A5" w:rsidR="0089516C" w:rsidRPr="0089516C" w:rsidRDefault="0089516C"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P1 — Regresión: Se utilizarán el identificador de estación, hora del día, día de la semana, mes, indicadores de fin de semana y estadísticas históricas de salidas, incluyendo rezagos y promedios móviles calculados únicamente con información anterior al momento de predicción.</w:t>
            </w:r>
          </w:p>
          <w:p w14:paraId="2E31AB7F" w14:textId="550D7229" w:rsidR="0089516C" w:rsidRPr="0089516C" w:rsidRDefault="0089516C"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P2 — Clasificación: Se emplearán características temporales, salidas y llegadas históricas, flujo neto acumulado en ventanas anteriores, tendencias de demanda y capacidad de la estación, cuando esté disponible. Estas variables permitirán estimar un indicador aproximado de riesgo de desequilibrio.</w:t>
            </w:r>
          </w:p>
          <w:p w14:paraId="36544987" w14:textId="380BEA16" w:rsidR="0089516C" w:rsidRPr="0089516C" w:rsidRDefault="0089516C"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P3 — Clustering: Se construirán perfiles agregados por estación mediante volumen promedio de viajes, distribución horaria, actividad entre semana y fines de semana, proporción de salidas y llegadas, y ubicación geográfica.</w:t>
            </w:r>
          </w:p>
          <w:p w14:paraId="375D0EDD" w14:textId="3C20298E" w:rsidR="0089516C" w:rsidRPr="0089516C" w:rsidRDefault="0089516C"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Las transformaciones incluirán agregación por estación-hora, generación de rezagos, codificación de variables categóricas y escalamiento cuando el algoritmo lo requiera.</w:t>
            </w:r>
          </w:p>
          <w:p w14:paraId="14C91C07" w14:textId="080FF5DA" w:rsidR="002502D2" w:rsidRPr="0089516C" w:rsidRDefault="0089516C" w:rsidP="004921A4">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Las características se generarán mediante pipelines reproducibles. Para P1 y P2 se garantizará que todas las variables estén disponibles al momento de la predicción, evitando incorporar información futura.</w:t>
            </w:r>
          </w:p>
        </w:tc>
      </w:tr>
      <w:tr w:rsidR="002502D2" w:rsidRPr="0089516C" w14:paraId="13AB86D7" w14:textId="77777777" w:rsidTr="0089516C">
        <w:trPr>
          <w:trHeight w:val="1740"/>
          <w:jc w:val="center"/>
        </w:trPr>
        <w:tc>
          <w:tcPr>
            <w:tcW w:w="2955" w:type="dxa"/>
            <w:tcBorders>
              <w:top w:val="nil"/>
              <w:left w:val="single" w:sz="24" w:space="0" w:color="000000"/>
              <w:bottom w:val="single" w:sz="24" w:space="0" w:color="000000"/>
              <w:right w:val="single" w:sz="12" w:space="0" w:color="000000"/>
            </w:tcBorders>
            <w:shd w:val="clear" w:color="auto" w:fill="FFFFFF"/>
            <w:tcMar>
              <w:top w:w="100" w:type="dxa"/>
              <w:left w:w="100" w:type="dxa"/>
              <w:bottom w:w="100" w:type="dxa"/>
              <w:right w:w="100" w:type="dxa"/>
            </w:tcMar>
          </w:tcPr>
          <w:p w14:paraId="2B1936BA" w14:textId="77777777" w:rsidR="002502D2" w:rsidRPr="0089516C" w:rsidRDefault="002502D2">
            <w:pPr>
              <w:rPr>
                <w:rFonts w:ascii="Arial" w:eastAsia="IBM Plex Sans" w:hAnsi="Arial" w:cs="Arial"/>
                <w:color w:val="000000" w:themeColor="text1"/>
                <w:sz w:val="15"/>
                <w:szCs w:val="15"/>
              </w:rPr>
            </w:pPr>
          </w:p>
        </w:tc>
        <w:tc>
          <w:tcPr>
            <w:tcW w:w="2880" w:type="dxa"/>
            <w:tcBorders>
              <w:top w:val="single" w:sz="12" w:space="0" w:color="000000"/>
              <w:left w:val="single" w:sz="12" w:space="0" w:color="000000"/>
              <w:bottom w:val="single" w:sz="24" w:space="0" w:color="000000"/>
              <w:right w:val="nil"/>
            </w:tcBorders>
            <w:shd w:val="clear" w:color="auto" w:fill="FFFFFF"/>
            <w:tcMar>
              <w:top w:w="100" w:type="dxa"/>
              <w:left w:w="100" w:type="dxa"/>
              <w:bottom w:w="100" w:type="dxa"/>
              <w:right w:w="100" w:type="dxa"/>
            </w:tcMar>
          </w:tcPr>
          <w:p w14:paraId="01555A90" w14:textId="77777777" w:rsidR="002502D2" w:rsidRPr="0089516C" w:rsidRDefault="00000000">
            <w:pPr>
              <w:pStyle w:val="Ttulo2"/>
              <w:rPr>
                <w:rFonts w:ascii="Arial" w:eastAsia="IBM Plex Sans" w:hAnsi="Arial" w:cs="Arial"/>
                <w:color w:val="000000" w:themeColor="text1"/>
                <w:sz w:val="15"/>
                <w:szCs w:val="15"/>
              </w:rPr>
            </w:pPr>
            <w:bookmarkStart w:id="12" w:name="_99rbzexhxp86" w:colFirst="0" w:colLast="0"/>
            <w:bookmarkEnd w:id="12"/>
            <w:r w:rsidRPr="0089516C">
              <w:rPr>
                <w:rFonts w:ascii="Arial" w:eastAsia="IBM Plex Sans" w:hAnsi="Arial" w:cs="Arial"/>
                <w:color w:val="000000" w:themeColor="text1"/>
                <w:sz w:val="15"/>
                <w:szCs w:val="15"/>
              </w:rPr>
              <w:t>MONITORING</w:t>
            </w:r>
          </w:p>
          <w:p w14:paraId="4A48F7E2" w14:textId="4C0A01A8" w:rsidR="0089516C" w:rsidRPr="0089516C" w:rsidRDefault="0089516C" w:rsidP="005837A7">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Se establecerá un proceso de monitoreo para supervisar la calidad de los datos, el desempeño de los modelos y su utilidad operativa.</w:t>
            </w:r>
          </w:p>
          <w:p w14:paraId="65AA9134" w14:textId="19EF2F4B" w:rsidR="0089516C" w:rsidRPr="0089516C" w:rsidRDefault="0089516C" w:rsidP="005837A7">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Calidad de datos: Se verificarán registros faltantes, duplicados, inconsistencias temporales, estaciones desconocidas, cambios de esquema y retrasos en la publicación de nuevos archivos.</w:t>
            </w:r>
          </w:p>
          <w:p w14:paraId="72DC2EE0" w14:textId="2F77FD58" w:rsidR="0089516C" w:rsidRPr="0089516C" w:rsidRDefault="0089516C" w:rsidP="005837A7">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P1 — Regresión: Se monitorearán MAE y RMSE, comparando la demanda pronosticada con las salidas reales observadas, así como el desempeño por estación, horario y periodo.</w:t>
            </w:r>
          </w:p>
          <w:p w14:paraId="73138E64" w14:textId="2600D971" w:rsidR="0089516C" w:rsidRPr="0089516C" w:rsidRDefault="0089516C" w:rsidP="005837A7">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P2 — Clasificación: Se supervisarán Precision, Recall, F1 y la distribución de categorías de riesgo. Dado que las etiquetas son aproximadas, los resultados no se interpretarán como mediciones de desabasto real.</w:t>
            </w:r>
          </w:p>
          <w:p w14:paraId="5466454C" w14:textId="6115D7EE" w:rsidR="0089516C" w:rsidRPr="0089516C" w:rsidRDefault="0089516C" w:rsidP="005837A7">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P3 — Clustering: Se evaluarán la estabilidad de los grupos, el Silhouette Score y los cambios en los perfiles de utilización de las estaciones.</w:t>
            </w:r>
          </w:p>
          <w:p w14:paraId="4E7EE932" w14:textId="1E09A393" w:rsidR="0089516C" w:rsidRPr="0089516C" w:rsidRDefault="0089516C" w:rsidP="005837A7">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Se revisarán posibles cambios en las distribuciones de datos (data drift) y deterioros del desempeño (model drift). Los resultados se registrarán mediante MLflow y reportes de evaluación.</w:t>
            </w:r>
          </w:p>
          <w:p w14:paraId="223914E1" w14:textId="72D4F745" w:rsidR="0089516C" w:rsidRPr="0089516C" w:rsidRDefault="0089516C" w:rsidP="005837A7">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El monitoreo se realizará al incorporar nuevos datos mensuales. Se considerará el reentrenamiento cuando se detecten cambios significativos, pérdida sostenida de desempeño o modificaciones relevantes en la red de estaciones.</w:t>
            </w:r>
          </w:p>
          <w:p w14:paraId="427FFA63" w14:textId="02E2D163" w:rsidR="002502D2" w:rsidRPr="0089516C" w:rsidRDefault="0089516C" w:rsidP="005837A7">
            <w:pPr>
              <w:pStyle w:val="Ttulo3"/>
              <w:jc w:val="both"/>
              <w:rPr>
                <w:rFonts w:ascii="Arial" w:eastAsia="IBM Plex Sans" w:hAnsi="Arial" w:cs="Arial"/>
                <w:color w:val="000000" w:themeColor="text1"/>
                <w:sz w:val="15"/>
                <w:szCs w:val="15"/>
              </w:rPr>
            </w:pPr>
            <w:r w:rsidRPr="0089516C">
              <w:rPr>
                <w:rFonts w:ascii="Arial" w:eastAsia="IBM Plex Sans" w:hAnsi="Arial" w:cs="Arial"/>
                <w:color w:val="000000" w:themeColor="text1"/>
                <w:sz w:val="15"/>
                <w:szCs w:val="15"/>
              </w:rPr>
              <w:t xml:space="preserve">El impacto operativo real deberá validarse posteriormente con información de disponibilidad, </w:t>
            </w:r>
            <w:r w:rsidRPr="0089516C">
              <w:rPr>
                <w:rFonts w:ascii="Arial" w:eastAsia="IBM Plex Sans" w:hAnsi="Arial" w:cs="Arial"/>
                <w:color w:val="000000" w:themeColor="text1"/>
                <w:sz w:val="15"/>
                <w:szCs w:val="15"/>
              </w:rPr>
              <w:lastRenderedPageBreak/>
              <w:t>rebalanceo y calidad del servicio.</w:t>
            </w:r>
          </w:p>
        </w:tc>
        <w:tc>
          <w:tcPr>
            <w:tcW w:w="2880" w:type="dxa"/>
            <w:tcBorders>
              <w:top w:val="single" w:sz="12" w:space="0" w:color="000000"/>
              <w:left w:val="nil"/>
              <w:bottom w:val="single" w:sz="24" w:space="0" w:color="000000"/>
              <w:right w:val="nil"/>
            </w:tcBorders>
            <w:shd w:val="clear" w:color="auto" w:fill="FFFFFF"/>
            <w:tcMar>
              <w:top w:w="100" w:type="dxa"/>
              <w:left w:w="100" w:type="dxa"/>
              <w:bottom w:w="100" w:type="dxa"/>
              <w:right w:w="100" w:type="dxa"/>
            </w:tcMar>
          </w:tcPr>
          <w:p w14:paraId="42B58B05" w14:textId="77777777" w:rsidR="002502D2" w:rsidRPr="0089516C" w:rsidRDefault="002502D2">
            <w:pPr>
              <w:spacing w:after="200"/>
              <w:rPr>
                <w:rFonts w:ascii="Arial" w:eastAsia="IBM Plex Sans" w:hAnsi="Arial" w:cs="Arial"/>
                <w:color w:val="000000" w:themeColor="text1"/>
                <w:sz w:val="15"/>
                <w:szCs w:val="15"/>
              </w:rPr>
            </w:pPr>
          </w:p>
        </w:tc>
        <w:tc>
          <w:tcPr>
            <w:tcW w:w="2880" w:type="dxa"/>
            <w:tcBorders>
              <w:top w:val="single" w:sz="12" w:space="0" w:color="000000"/>
              <w:left w:val="nil"/>
              <w:bottom w:val="single" w:sz="24" w:space="0" w:color="000000"/>
              <w:right w:val="single" w:sz="12" w:space="0" w:color="000000"/>
            </w:tcBorders>
            <w:shd w:val="clear" w:color="auto" w:fill="FFFFFF"/>
            <w:tcMar>
              <w:top w:w="100" w:type="dxa"/>
              <w:left w:w="100" w:type="dxa"/>
              <w:bottom w:w="100" w:type="dxa"/>
              <w:right w:w="100" w:type="dxa"/>
            </w:tcMar>
          </w:tcPr>
          <w:p w14:paraId="49A32911" w14:textId="77777777" w:rsidR="002502D2" w:rsidRPr="0089516C" w:rsidRDefault="00000000">
            <w:pPr>
              <w:spacing w:after="200"/>
              <w:rPr>
                <w:rFonts w:ascii="Arial" w:eastAsia="IBM Plex Sans" w:hAnsi="Arial" w:cs="Arial"/>
                <w:color w:val="000000" w:themeColor="text1"/>
                <w:sz w:val="15"/>
                <w:szCs w:val="15"/>
              </w:rPr>
            </w:pPr>
            <w:r w:rsidRPr="0089516C">
              <w:rPr>
                <w:rFonts w:ascii="Arial" w:hAnsi="Arial" w:cs="Arial"/>
                <w:noProof/>
                <w:color w:val="000000" w:themeColor="text1"/>
                <w:sz w:val="15"/>
                <w:szCs w:val="15"/>
              </w:rPr>
              <w:drawing>
                <wp:anchor distT="0" distB="0" distL="0" distR="0" simplePos="0" relativeHeight="251667456" behindDoc="0" locked="0" layoutInCell="1" hidden="0" allowOverlap="1" wp14:anchorId="19E079FC" wp14:editId="53B47397">
                  <wp:simplePos x="0" y="0"/>
                  <wp:positionH relativeFrom="column">
                    <wp:posOffset>1314450</wp:posOffset>
                  </wp:positionH>
                  <wp:positionV relativeFrom="paragraph">
                    <wp:posOffset>0</wp:posOffset>
                  </wp:positionV>
                  <wp:extent cx="324000" cy="324000"/>
                  <wp:effectExtent l="0" t="0" r="0" b="0"/>
                  <wp:wrapSquare wrapText="bothSides" distT="0" distB="0" distL="0" distR="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324000" cy="324000"/>
                          </a:xfrm>
                          <a:prstGeom prst="rect">
                            <a:avLst/>
                          </a:prstGeom>
                          <a:ln/>
                        </pic:spPr>
                      </pic:pic>
                    </a:graphicData>
                  </a:graphic>
                </wp:anchor>
              </w:drawing>
            </w:r>
          </w:p>
        </w:tc>
        <w:tc>
          <w:tcPr>
            <w:tcW w:w="2880" w:type="dxa"/>
            <w:tcBorders>
              <w:top w:val="nil"/>
              <w:left w:val="single" w:sz="12" w:space="0" w:color="000000"/>
              <w:bottom w:val="single" w:sz="24" w:space="0" w:color="000000"/>
              <w:right w:val="single" w:sz="24" w:space="0" w:color="000000"/>
            </w:tcBorders>
            <w:shd w:val="clear" w:color="auto" w:fill="FFFFFF"/>
            <w:tcMar>
              <w:top w:w="100" w:type="dxa"/>
              <w:left w:w="100" w:type="dxa"/>
              <w:bottom w:w="100" w:type="dxa"/>
              <w:right w:w="100" w:type="dxa"/>
            </w:tcMar>
          </w:tcPr>
          <w:p w14:paraId="136B3A62" w14:textId="77777777" w:rsidR="002502D2" w:rsidRPr="0089516C" w:rsidRDefault="002502D2">
            <w:pPr>
              <w:spacing w:after="200"/>
              <w:rPr>
                <w:rFonts w:ascii="Arial" w:eastAsia="IBM Plex Sans" w:hAnsi="Arial" w:cs="Arial"/>
                <w:color w:val="000000" w:themeColor="text1"/>
                <w:sz w:val="15"/>
                <w:szCs w:val="15"/>
              </w:rPr>
            </w:pPr>
          </w:p>
        </w:tc>
      </w:tr>
    </w:tbl>
    <w:p w14:paraId="3660934A" w14:textId="77777777" w:rsidR="002502D2" w:rsidRDefault="002502D2">
      <w:pPr>
        <w:rPr>
          <w:rFonts w:ascii="IBM Plex Sans" w:eastAsia="IBM Plex Sans" w:hAnsi="IBM Plex Sans" w:cs="IBM Plex Sans"/>
          <w:sz w:val="2"/>
          <w:szCs w:val="2"/>
        </w:rPr>
      </w:pPr>
    </w:p>
    <w:tbl>
      <w:tblPr>
        <w:tblStyle w:val="a0"/>
        <w:tblW w:w="144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9720"/>
        <w:gridCol w:w="2685"/>
      </w:tblGrid>
      <w:tr w:rsidR="002502D2" w14:paraId="2B55F959" w14:textId="77777777">
        <w:tc>
          <w:tcPr>
            <w:tcW w:w="2010" w:type="dxa"/>
            <w:tcBorders>
              <w:top w:val="nil"/>
              <w:left w:val="nil"/>
              <w:bottom w:val="nil"/>
              <w:right w:val="nil"/>
            </w:tcBorders>
            <w:tcMar>
              <w:top w:w="100" w:type="dxa"/>
              <w:left w:w="100" w:type="dxa"/>
              <w:bottom w:w="100" w:type="dxa"/>
              <w:right w:w="100" w:type="dxa"/>
            </w:tcMar>
          </w:tcPr>
          <w:p w14:paraId="31FF45AA" w14:textId="77777777" w:rsidR="002502D2" w:rsidRDefault="00000000">
            <w:pPr>
              <w:spacing w:before="60" w:line="300" w:lineRule="auto"/>
              <w:rPr>
                <w:rFonts w:ascii="IBM Plex Sans" w:eastAsia="IBM Plex Sans" w:hAnsi="IBM Plex Sans" w:cs="IBM Plex Sans"/>
              </w:rPr>
            </w:pPr>
            <w:r>
              <w:rPr>
                <w:rFonts w:ascii="IBM Plex Sans" w:eastAsia="IBM Plex Sans" w:hAnsi="IBM Plex Sans" w:cs="IBM Plex Sans"/>
                <w:noProof/>
              </w:rPr>
              <w:drawing>
                <wp:inline distT="114300" distB="114300" distL="114300" distR="114300" wp14:anchorId="4CC346CA" wp14:editId="7A7F928A">
                  <wp:extent cx="190500" cy="1905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190500" cy="190500"/>
                          </a:xfrm>
                          <a:prstGeom prst="rect">
                            <a:avLst/>
                          </a:prstGeom>
                          <a:ln/>
                        </pic:spPr>
                      </pic:pic>
                    </a:graphicData>
                  </a:graphic>
                </wp:inline>
              </w:drawing>
            </w:r>
            <w:r>
              <w:rPr>
                <w:rFonts w:ascii="IBM Plex Sans" w:eastAsia="IBM Plex Sans" w:hAnsi="IBM Plex Sans" w:cs="IBM Plex Sans"/>
                <w:noProof/>
              </w:rPr>
              <w:drawing>
                <wp:inline distT="114300" distB="114300" distL="114300" distR="114300" wp14:anchorId="0B25AC33" wp14:editId="3F4BE1F1">
                  <wp:extent cx="190500" cy="1905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190500" cy="190500"/>
                          </a:xfrm>
                          <a:prstGeom prst="rect">
                            <a:avLst/>
                          </a:prstGeom>
                          <a:ln/>
                        </pic:spPr>
                      </pic:pic>
                    </a:graphicData>
                  </a:graphic>
                </wp:inline>
              </w:drawing>
            </w:r>
            <w:r>
              <w:rPr>
                <w:rFonts w:ascii="IBM Plex Sans" w:eastAsia="IBM Plex Sans" w:hAnsi="IBM Plex Sans" w:cs="IBM Plex Sans"/>
                <w:noProof/>
              </w:rPr>
              <w:drawing>
                <wp:inline distT="114300" distB="114300" distL="114300" distR="114300" wp14:anchorId="5D27A3FB" wp14:editId="54CAAE52">
                  <wp:extent cx="190500" cy="190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190500" cy="190500"/>
                          </a:xfrm>
                          <a:prstGeom prst="rect">
                            <a:avLst/>
                          </a:prstGeom>
                          <a:ln/>
                        </pic:spPr>
                      </pic:pic>
                    </a:graphicData>
                  </a:graphic>
                </wp:inline>
              </w:drawing>
            </w:r>
            <w:r>
              <w:rPr>
                <w:rFonts w:ascii="IBM Plex Sans" w:eastAsia="IBM Plex Sans" w:hAnsi="IBM Plex Sans" w:cs="IBM Plex Sans"/>
                <w:noProof/>
              </w:rPr>
              <w:drawing>
                <wp:inline distT="114300" distB="114300" distL="114300" distR="114300" wp14:anchorId="7E8E6D55" wp14:editId="39054526">
                  <wp:extent cx="190500" cy="1905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190500" cy="190500"/>
                          </a:xfrm>
                          <a:prstGeom prst="rect">
                            <a:avLst/>
                          </a:prstGeom>
                          <a:ln/>
                        </pic:spPr>
                      </pic:pic>
                    </a:graphicData>
                  </a:graphic>
                </wp:inline>
              </w:drawing>
            </w:r>
            <w:r>
              <w:rPr>
                <w:rFonts w:ascii="IBM Plex Sans" w:eastAsia="IBM Plex Sans" w:hAnsi="IBM Plex Sans" w:cs="IBM Plex Sans"/>
                <w:noProof/>
              </w:rPr>
              <w:drawing>
                <wp:inline distT="114300" distB="114300" distL="114300" distR="114300" wp14:anchorId="1A3A929B" wp14:editId="541708F1">
                  <wp:extent cx="190500" cy="190500"/>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190500" cy="190500"/>
                          </a:xfrm>
                          <a:prstGeom prst="rect">
                            <a:avLst/>
                          </a:prstGeom>
                          <a:ln/>
                        </pic:spPr>
                      </pic:pic>
                    </a:graphicData>
                  </a:graphic>
                </wp:inline>
              </w:drawing>
            </w:r>
          </w:p>
        </w:tc>
        <w:tc>
          <w:tcPr>
            <w:tcW w:w="9720" w:type="dxa"/>
            <w:tcBorders>
              <w:top w:val="nil"/>
              <w:left w:val="nil"/>
              <w:bottom w:val="nil"/>
              <w:right w:val="nil"/>
            </w:tcBorders>
            <w:tcMar>
              <w:top w:w="100" w:type="dxa"/>
              <w:left w:w="100" w:type="dxa"/>
              <w:bottom w:w="100" w:type="dxa"/>
              <w:right w:w="100" w:type="dxa"/>
            </w:tcMar>
          </w:tcPr>
          <w:p w14:paraId="2920650C" w14:textId="77777777" w:rsidR="002502D2" w:rsidRDefault="00000000">
            <w:pPr>
              <w:spacing w:line="300" w:lineRule="auto"/>
              <w:rPr>
                <w:rFonts w:ascii="IBM Plex Sans" w:eastAsia="IBM Plex Sans" w:hAnsi="IBM Plex Sans" w:cs="IBM Plex Sans"/>
                <w:sz w:val="14"/>
                <w:szCs w:val="14"/>
              </w:rPr>
            </w:pPr>
            <w:r>
              <w:rPr>
                <w:rFonts w:ascii="IBM Plex Sans" w:eastAsia="IBM Plex Sans" w:hAnsi="IBM Plex Sans" w:cs="IBM Plex Sans"/>
                <w:sz w:val="14"/>
                <w:szCs w:val="14"/>
              </w:rPr>
              <w:t xml:space="preserve">Version 1.2. Created by Louis Dorard, Ph.D. Licensed under a </w:t>
            </w:r>
            <w:hyperlink r:id="rId23">
              <w:r>
                <w:rPr>
                  <w:rFonts w:ascii="IBM Plex Sans" w:eastAsia="IBM Plex Sans" w:hAnsi="IBM Plex Sans" w:cs="IBM Plex Sans"/>
                  <w:sz w:val="14"/>
                  <w:szCs w:val="14"/>
                  <w:u w:val="single"/>
                </w:rPr>
                <w:t>Creative Commons Attribution-ShareAlike 4.0 International License</w:t>
              </w:r>
            </w:hyperlink>
            <w:r>
              <w:rPr>
                <w:rFonts w:ascii="IBM Plex Sans" w:eastAsia="IBM Plex Sans" w:hAnsi="IBM Plex Sans" w:cs="IBM Plex Sans"/>
                <w:sz w:val="14"/>
                <w:szCs w:val="14"/>
              </w:rPr>
              <w:t>.</w:t>
            </w:r>
            <w:r>
              <w:rPr>
                <w:rFonts w:ascii="IBM Plex Sans" w:eastAsia="IBM Plex Sans" w:hAnsi="IBM Plex Sans" w:cs="IBM Plex Sans"/>
                <w:sz w:val="14"/>
                <w:szCs w:val="14"/>
              </w:rPr>
              <w:br/>
              <w:t xml:space="preserve">Please keep this mention and the link to </w:t>
            </w:r>
            <w:hyperlink r:id="rId24">
              <w:r>
                <w:rPr>
                  <w:rFonts w:ascii="IBM Plex Sans" w:eastAsia="IBM Plex Sans" w:hAnsi="IBM Plex Sans" w:cs="IBM Plex Sans"/>
                  <w:sz w:val="14"/>
                  <w:szCs w:val="14"/>
                  <w:u w:val="single"/>
                </w:rPr>
                <w:t>ownml.co</w:t>
              </w:r>
            </w:hyperlink>
            <w:r>
              <w:rPr>
                <w:rFonts w:ascii="IBM Plex Sans" w:eastAsia="IBM Plex Sans" w:hAnsi="IBM Plex Sans" w:cs="IBM Plex Sans"/>
                <w:sz w:val="14"/>
                <w:szCs w:val="14"/>
              </w:rPr>
              <w:t xml:space="preserve"> when sharing.</w:t>
            </w:r>
          </w:p>
        </w:tc>
        <w:tc>
          <w:tcPr>
            <w:tcW w:w="2685" w:type="dxa"/>
            <w:tcBorders>
              <w:top w:val="nil"/>
              <w:left w:val="nil"/>
              <w:bottom w:val="nil"/>
              <w:right w:val="nil"/>
            </w:tcBorders>
            <w:tcMar>
              <w:top w:w="100" w:type="dxa"/>
              <w:left w:w="100" w:type="dxa"/>
              <w:bottom w:w="100" w:type="dxa"/>
              <w:right w:w="100" w:type="dxa"/>
            </w:tcMar>
          </w:tcPr>
          <w:p w14:paraId="5AD1527A" w14:textId="77777777" w:rsidR="002502D2" w:rsidRDefault="00000000">
            <w:pPr>
              <w:spacing w:before="60" w:line="300" w:lineRule="auto"/>
              <w:jc w:val="right"/>
              <w:rPr>
                <w:rFonts w:ascii="IBM Plex Sans" w:eastAsia="IBM Plex Sans" w:hAnsi="IBM Plex Sans" w:cs="IBM Plex Sans"/>
                <w:color w:val="A35A00"/>
                <w:sz w:val="22"/>
                <w:szCs w:val="22"/>
              </w:rPr>
            </w:pPr>
            <w:r>
              <w:rPr>
                <w:rFonts w:ascii="IBM Plex Sans" w:eastAsia="IBM Plex Sans" w:hAnsi="IBM Plex Sans" w:cs="IBM Plex Sans"/>
              </w:rPr>
              <w:t xml:space="preserve"> </w:t>
            </w:r>
            <w:hyperlink r:id="rId25">
              <w:r>
                <w:rPr>
                  <w:rFonts w:ascii="IBM Plex Sans" w:eastAsia="IBM Plex Sans" w:hAnsi="IBM Plex Sans" w:cs="IBM Plex Sans"/>
                  <w:b/>
                  <w:bCs/>
                  <w:color w:val="A35A00"/>
                  <w:sz w:val="30"/>
                  <w:szCs w:val="30"/>
                  <w:u w:val="single"/>
                </w:rPr>
                <w:t>OWNML.CO</w:t>
              </w:r>
            </w:hyperlink>
          </w:p>
        </w:tc>
      </w:tr>
    </w:tbl>
    <w:p w14:paraId="1C4B9BCF" w14:textId="77777777" w:rsidR="002502D2" w:rsidRDefault="002502D2">
      <w:pPr>
        <w:pStyle w:val="Ttulo1"/>
        <w:rPr>
          <w:rFonts w:ascii="IBM Plex Sans" w:eastAsia="IBM Plex Sans" w:hAnsi="IBM Plex Sans" w:cs="IBM Plex Sans"/>
        </w:rPr>
      </w:pPr>
      <w:bookmarkStart w:id="13" w:name="_c5vfevmt07y6" w:colFirst="0" w:colLast="0"/>
      <w:bookmarkEnd w:id="13"/>
    </w:p>
    <w:p w14:paraId="1BA50AD3" w14:textId="77777777" w:rsidR="002502D2" w:rsidRDefault="002502D2">
      <w:pPr>
        <w:rPr>
          <w:rFonts w:ascii="IBM Plex Sans" w:eastAsia="IBM Plex Sans" w:hAnsi="IBM Plex Sans" w:cs="IBM Plex Sans"/>
          <w:b/>
          <w:bCs/>
          <w:sz w:val="30"/>
          <w:szCs w:val="30"/>
        </w:rPr>
      </w:pPr>
    </w:p>
    <w:p w14:paraId="259D0417" w14:textId="77777777" w:rsidR="002502D2" w:rsidRDefault="00000000">
      <w:pPr>
        <w:rPr>
          <w:rFonts w:ascii="IBM Plex Sans" w:eastAsia="IBM Plex Sans" w:hAnsi="IBM Plex Sans" w:cs="IBM Plex Sans"/>
          <w:sz w:val="18"/>
          <w:szCs w:val="18"/>
        </w:rPr>
      </w:pPr>
      <w:r>
        <w:rPr>
          <w:rFonts w:ascii="IBM Plex Sans" w:eastAsia="IBM Plex Sans" w:hAnsi="IBM Plex Sans" w:cs="IBM Plex Sans"/>
          <w:b/>
          <w:bCs/>
          <w:sz w:val="30"/>
          <w:szCs w:val="30"/>
        </w:rPr>
        <w:t>What your canvas is for</w:t>
      </w:r>
    </w:p>
    <w:p w14:paraId="13B2AC1E" w14:textId="77777777" w:rsidR="002502D2" w:rsidRDefault="002502D2">
      <w:pPr>
        <w:rPr>
          <w:rFonts w:ascii="IBM Plex Sans" w:eastAsia="IBM Plex Sans" w:hAnsi="IBM Plex Sans" w:cs="IBM Plex Sans"/>
          <w:sz w:val="18"/>
          <w:szCs w:val="18"/>
        </w:rPr>
      </w:pPr>
    </w:p>
    <w:tbl>
      <w:tblPr>
        <w:tblStyle w:val="a1"/>
        <w:tblW w:w="144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30"/>
        <w:gridCol w:w="870"/>
        <w:gridCol w:w="6900"/>
      </w:tblGrid>
      <w:tr w:rsidR="002502D2" w14:paraId="5AD9E94B" w14:textId="77777777">
        <w:tc>
          <w:tcPr>
            <w:tcW w:w="6630" w:type="dxa"/>
            <w:tcBorders>
              <w:top w:val="nil"/>
              <w:left w:val="nil"/>
              <w:bottom w:val="nil"/>
              <w:right w:val="nil"/>
            </w:tcBorders>
            <w:tcMar>
              <w:top w:w="100" w:type="dxa"/>
              <w:left w:w="100" w:type="dxa"/>
              <w:bottom w:w="100" w:type="dxa"/>
              <w:right w:w="100" w:type="dxa"/>
            </w:tcMar>
          </w:tcPr>
          <w:p w14:paraId="4881B27F" w14:textId="77777777" w:rsidR="002502D2" w:rsidRDefault="00000000">
            <w:pPr>
              <w:spacing w:before="20" w:after="40"/>
              <w:rPr>
                <w:rFonts w:ascii="IBM Plex Sans" w:eastAsia="IBM Plex Sans" w:hAnsi="IBM Plex Sans" w:cs="IBM Plex Sans"/>
                <w:color w:val="202020"/>
                <w:sz w:val="18"/>
                <w:szCs w:val="18"/>
              </w:rPr>
            </w:pPr>
            <w:r>
              <w:rPr>
                <w:rFonts w:ascii="IBM Plex Sans" w:eastAsia="IBM Plex Sans" w:hAnsi="IBM Plex Sans" w:cs="IBM Plex Sans"/>
                <w:color w:val="202020"/>
                <w:sz w:val="18"/>
                <w:szCs w:val="18"/>
              </w:rPr>
              <w:t>A filled canvas does 4 jobs, and each one needs certain boxes filled in with care.</w:t>
            </w:r>
          </w:p>
          <w:p w14:paraId="32A9836F" w14:textId="77777777" w:rsidR="002502D2" w:rsidRDefault="00000000">
            <w:pPr>
              <w:numPr>
                <w:ilvl w:val="0"/>
                <w:numId w:val="1"/>
              </w:numPr>
              <w:spacing w:before="200"/>
              <w:rPr>
                <w:sz w:val="18"/>
                <w:szCs w:val="18"/>
              </w:rPr>
            </w:pPr>
            <w:r>
              <w:rPr>
                <w:rFonts w:ascii="IBM Plex Sans" w:eastAsia="IBM Plex Sans" w:hAnsi="IBM Plex Sans" w:cs="IBM Plex Sans"/>
                <w:b/>
                <w:bCs/>
                <w:color w:val="202020"/>
                <w:sz w:val="18"/>
                <w:szCs w:val="18"/>
              </w:rPr>
              <w:t>Deciding what's worth building.</w:t>
            </w:r>
            <w:r>
              <w:rPr>
                <w:rFonts w:ascii="IBM Plex Sans" w:eastAsia="IBM Plex Sans" w:hAnsi="IBM Plex Sans" w:cs="IBM Plex Sans"/>
                <w:color w:val="202020"/>
                <w:sz w:val="18"/>
                <w:szCs w:val="18"/>
              </w:rPr>
              <w:t xml:space="preserve"> Put each idea on its own canvas and you can compare the ideas on the same terms: what each could gain in a year, and whether the outcomes a model would learn from were ever recorded. That takes dollar amounts in the Impact Simulation box, and a named person in the Value Proposition box who acts on each prediction.</w:t>
            </w:r>
          </w:p>
          <w:p w14:paraId="2C24163D" w14:textId="77777777" w:rsidR="002502D2" w:rsidRDefault="00000000">
            <w:pPr>
              <w:numPr>
                <w:ilvl w:val="0"/>
                <w:numId w:val="1"/>
              </w:numPr>
              <w:rPr>
                <w:sz w:val="18"/>
                <w:szCs w:val="18"/>
              </w:rPr>
            </w:pPr>
            <w:r>
              <w:rPr>
                <w:rFonts w:ascii="IBM Plex Sans" w:eastAsia="IBM Plex Sans" w:hAnsi="IBM Plex Sans" w:cs="IBM Plex Sans"/>
                <w:b/>
                <w:bCs/>
                <w:color w:val="202020"/>
                <w:sz w:val="18"/>
                <w:szCs w:val="18"/>
              </w:rPr>
              <w:t>Agreeing on what gets built.</w:t>
            </w:r>
            <w:r>
              <w:rPr>
                <w:rFonts w:ascii="IBM Plex Sans" w:eastAsia="IBM Plex Sans" w:hAnsi="IBM Plex Sans" w:cs="IBM Plex Sans"/>
                <w:color w:val="202020"/>
                <w:sz w:val="18"/>
                <w:szCs w:val="18"/>
              </w:rPr>
              <w:t xml:space="preserve"> Some of the choices that set a system's value look technical, but they're business decisions. What counts as a lost customer: 60 days without buying, or 90? How far ahead do you predict? How many flagged cases can your team act on? On the canvas, business, data and engineering make these choices together, instead of leaving them to whoever writes the code.</w:t>
            </w:r>
          </w:p>
          <w:p w14:paraId="7F75DEA0" w14:textId="77777777" w:rsidR="002502D2" w:rsidRDefault="00000000">
            <w:pPr>
              <w:numPr>
                <w:ilvl w:val="0"/>
                <w:numId w:val="1"/>
              </w:numPr>
              <w:rPr>
                <w:sz w:val="18"/>
                <w:szCs w:val="18"/>
              </w:rPr>
            </w:pPr>
            <w:r>
              <w:rPr>
                <w:rFonts w:ascii="IBM Plex Sans" w:eastAsia="IBM Plex Sans" w:hAnsi="IBM Plex Sans" w:cs="IBM Plex Sans"/>
                <w:b/>
                <w:bCs/>
                <w:color w:val="202020"/>
                <w:sz w:val="18"/>
                <w:szCs w:val="18"/>
              </w:rPr>
              <w:t>Knowing when the model is good enough.</w:t>
            </w:r>
            <w:r>
              <w:rPr>
                <w:rFonts w:ascii="IBM Plex Sans" w:eastAsia="IBM Plex Sans" w:hAnsi="IBM Plex Sans" w:cs="IBM Plex Sans"/>
                <w:color w:val="202020"/>
                <w:sz w:val="18"/>
                <w:szCs w:val="18"/>
              </w:rPr>
              <w:t xml:space="preserve"> The Impact Simulation box sets the performance the model has to reach to pay off. Test the model on enough of the cases you're predicting: 35,000 machine-hours of data can hold just 3 failures, too few to measure anything.</w:t>
            </w:r>
          </w:p>
          <w:p w14:paraId="67EA905E" w14:textId="77777777" w:rsidR="002502D2" w:rsidRDefault="00000000">
            <w:pPr>
              <w:numPr>
                <w:ilvl w:val="0"/>
                <w:numId w:val="1"/>
              </w:numPr>
              <w:spacing w:after="200"/>
              <w:rPr>
                <w:sz w:val="18"/>
                <w:szCs w:val="18"/>
              </w:rPr>
            </w:pPr>
            <w:r>
              <w:rPr>
                <w:rFonts w:ascii="IBM Plex Sans" w:eastAsia="IBM Plex Sans" w:hAnsi="IBM Plex Sans" w:cs="IBM Plex Sans"/>
                <w:b/>
                <w:bCs/>
                <w:color w:val="202020"/>
                <w:sz w:val="18"/>
                <w:szCs w:val="18"/>
              </w:rPr>
              <w:lastRenderedPageBreak/>
              <w:t>Learning after launch.</w:t>
            </w:r>
            <w:r>
              <w:rPr>
                <w:rFonts w:ascii="IBM Plex Sans" w:eastAsia="IBM Plex Sans" w:hAnsi="IBM Plex Sans" w:cs="IBM Plex Sans"/>
                <w:color w:val="202020"/>
                <w:sz w:val="18"/>
                <w:szCs w:val="18"/>
              </w:rPr>
              <w:t xml:space="preserve"> If acting on a prediction changes the outcome, keep a small share of flagged cases untouched and record that share in the Decisions box, so you can see what your action changed.</w:t>
            </w:r>
          </w:p>
          <w:p w14:paraId="2CB143BC" w14:textId="77777777" w:rsidR="002502D2" w:rsidRDefault="002502D2">
            <w:pPr>
              <w:rPr>
                <w:rFonts w:ascii="IBM Plex Sans" w:eastAsia="IBM Plex Sans" w:hAnsi="IBM Plex Sans" w:cs="IBM Plex Sans"/>
                <w:sz w:val="18"/>
                <w:szCs w:val="18"/>
              </w:rPr>
            </w:pPr>
          </w:p>
          <w:p w14:paraId="2780581E" w14:textId="77777777" w:rsidR="002502D2" w:rsidRDefault="00000000">
            <w:pPr>
              <w:rPr>
                <w:rFonts w:ascii="IBM Plex Sans" w:eastAsia="IBM Plex Sans" w:hAnsi="IBM Plex Sans" w:cs="IBM Plex Sans"/>
                <w:sz w:val="18"/>
                <w:szCs w:val="18"/>
              </w:rPr>
            </w:pPr>
            <w:r>
              <w:rPr>
                <w:rFonts w:ascii="IBM Plex Sans" w:eastAsia="IBM Plex Sans" w:hAnsi="IBM Plex Sans" w:cs="IBM Plex Sans"/>
                <w:sz w:val="18"/>
                <w:szCs w:val="18"/>
              </w:rPr>
              <w:t>Whatever you can't answer is the work left before anyone writes code.</w:t>
            </w:r>
          </w:p>
          <w:p w14:paraId="01C1420E" w14:textId="77777777" w:rsidR="002502D2" w:rsidRDefault="002502D2">
            <w:pPr>
              <w:rPr>
                <w:rFonts w:ascii="IBM Plex Sans" w:eastAsia="IBM Plex Sans" w:hAnsi="IBM Plex Sans" w:cs="IBM Plex Sans"/>
                <w:sz w:val="18"/>
                <w:szCs w:val="18"/>
              </w:rPr>
            </w:pPr>
          </w:p>
          <w:p w14:paraId="6E0FCDAD" w14:textId="77777777" w:rsidR="002502D2" w:rsidRDefault="002502D2">
            <w:pPr>
              <w:rPr>
                <w:rFonts w:ascii="IBM Plex Sans" w:eastAsia="IBM Plex Sans" w:hAnsi="IBM Plex Sans" w:cs="IBM Plex Sans"/>
                <w:sz w:val="18"/>
                <w:szCs w:val="18"/>
              </w:rPr>
            </w:pPr>
          </w:p>
          <w:p w14:paraId="6F5267B3" w14:textId="77777777" w:rsidR="002502D2" w:rsidRDefault="002502D2">
            <w:pPr>
              <w:rPr>
                <w:rFonts w:ascii="IBM Plex Sans" w:eastAsia="IBM Plex Sans" w:hAnsi="IBM Plex Sans" w:cs="IBM Plex Sans"/>
                <w:sz w:val="18"/>
                <w:szCs w:val="18"/>
              </w:rPr>
            </w:pPr>
          </w:p>
        </w:tc>
        <w:tc>
          <w:tcPr>
            <w:tcW w:w="870" w:type="dxa"/>
            <w:tcBorders>
              <w:top w:val="nil"/>
              <w:left w:val="nil"/>
              <w:bottom w:val="nil"/>
              <w:right w:val="nil"/>
            </w:tcBorders>
            <w:tcMar>
              <w:top w:w="100" w:type="dxa"/>
              <w:left w:w="100" w:type="dxa"/>
              <w:bottom w:w="100" w:type="dxa"/>
              <w:right w:w="100" w:type="dxa"/>
            </w:tcMar>
          </w:tcPr>
          <w:p w14:paraId="4761268D" w14:textId="77777777" w:rsidR="002502D2" w:rsidRDefault="002502D2">
            <w:pPr>
              <w:rPr>
                <w:rFonts w:ascii="IBM Plex Sans" w:eastAsia="IBM Plex Sans" w:hAnsi="IBM Plex Sans" w:cs="IBM Plex Sans"/>
                <w:b/>
                <w:bCs/>
                <w:sz w:val="18"/>
                <w:szCs w:val="18"/>
              </w:rPr>
            </w:pPr>
          </w:p>
        </w:tc>
        <w:tc>
          <w:tcPr>
            <w:tcW w:w="6900" w:type="dxa"/>
            <w:tcBorders>
              <w:top w:val="nil"/>
              <w:left w:val="nil"/>
              <w:bottom w:val="nil"/>
              <w:right w:val="nil"/>
            </w:tcBorders>
            <w:tcMar>
              <w:top w:w="100" w:type="dxa"/>
              <w:left w:w="100" w:type="dxa"/>
              <w:bottom w:w="100" w:type="dxa"/>
              <w:right w:w="100" w:type="dxa"/>
            </w:tcMar>
          </w:tcPr>
          <w:p w14:paraId="7510D80B" w14:textId="77777777" w:rsidR="002502D2" w:rsidRDefault="00000000">
            <w:pPr>
              <w:rPr>
                <w:rFonts w:ascii="IBM Plex Sans" w:eastAsia="IBM Plex Sans" w:hAnsi="IBM Plex Sans" w:cs="IBM Plex Sans"/>
                <w:b/>
                <w:bCs/>
                <w:sz w:val="18"/>
                <w:szCs w:val="18"/>
              </w:rPr>
            </w:pPr>
            <w:r>
              <w:rPr>
                <w:rFonts w:ascii="IBM Plex Sans" w:eastAsia="IBM Plex Sans" w:hAnsi="IBM Plex Sans" w:cs="IBM Plex Sans"/>
                <w:b/>
                <w:bCs/>
                <w:sz w:val="18"/>
                <w:szCs w:val="18"/>
              </w:rPr>
              <w:t>Book a project review</w:t>
            </w:r>
          </w:p>
          <w:p w14:paraId="223D229F" w14:textId="77777777" w:rsidR="002502D2" w:rsidRDefault="002502D2">
            <w:pPr>
              <w:rPr>
                <w:rFonts w:ascii="IBM Plex Sans" w:eastAsia="IBM Plex Sans" w:hAnsi="IBM Plex Sans" w:cs="IBM Plex Sans"/>
                <w:b/>
                <w:bCs/>
                <w:sz w:val="18"/>
                <w:szCs w:val="18"/>
              </w:rPr>
            </w:pPr>
          </w:p>
          <w:p w14:paraId="1E65F492" w14:textId="77777777" w:rsidR="002502D2" w:rsidRDefault="00000000">
            <w:pPr>
              <w:rPr>
                <w:rFonts w:ascii="IBM Plex Sans" w:eastAsia="IBM Plex Sans" w:hAnsi="IBM Plex Sans" w:cs="IBM Plex Sans"/>
                <w:sz w:val="18"/>
                <w:szCs w:val="18"/>
              </w:rPr>
            </w:pPr>
            <w:r>
              <w:rPr>
                <w:rFonts w:ascii="IBM Plex Sans" w:eastAsia="IBM Plex Sans" w:hAnsi="IBM Plex Sans" w:cs="IBM Plex Sans"/>
                <w:sz w:val="18"/>
                <w:szCs w:val="18"/>
              </w:rPr>
              <w:t>Louis Dorard created the canvas in 2015. Book a free 30-minute call, then send him your canvas draft, or a few lines about the project if you haven't started one. He prepares the call from what you send, and you'll leave knowing where the project is likely to break, and what to check before anyone builds it.</w:t>
            </w:r>
          </w:p>
          <w:p w14:paraId="48645177" w14:textId="77777777" w:rsidR="002502D2" w:rsidRDefault="002502D2">
            <w:pPr>
              <w:rPr>
                <w:rFonts w:ascii="IBM Plex Sans" w:eastAsia="IBM Plex Sans" w:hAnsi="IBM Plex Sans" w:cs="IBM Plex Sans"/>
                <w:sz w:val="18"/>
                <w:szCs w:val="18"/>
              </w:rPr>
            </w:pPr>
          </w:p>
          <w:p w14:paraId="4B96268F" w14:textId="77777777" w:rsidR="002502D2" w:rsidRDefault="00000000">
            <w:pPr>
              <w:rPr>
                <w:rFonts w:ascii="IBM Plex Sans" w:eastAsia="IBM Plex Sans" w:hAnsi="IBM Plex Sans" w:cs="IBM Plex Sans"/>
                <w:b/>
                <w:bCs/>
                <w:color w:val="A35A00"/>
                <w:sz w:val="18"/>
                <w:szCs w:val="18"/>
              </w:rPr>
            </w:pPr>
            <w:hyperlink r:id="rId26">
              <w:r>
                <w:rPr>
                  <w:rFonts w:ascii="IBM Plex Sans" w:eastAsia="IBM Plex Sans" w:hAnsi="IBM Plex Sans" w:cs="IBM Plex Sans"/>
                  <w:b/>
                  <w:bCs/>
                  <w:color w:val="A35A00"/>
                  <w:sz w:val="18"/>
                  <w:szCs w:val="18"/>
                  <w:u w:val="single"/>
                </w:rPr>
                <w:t>Book a 30-minute call →</w:t>
              </w:r>
            </w:hyperlink>
          </w:p>
          <w:p w14:paraId="5A521E1B" w14:textId="77777777" w:rsidR="002502D2" w:rsidRDefault="002502D2">
            <w:pPr>
              <w:rPr>
                <w:rFonts w:ascii="IBM Plex Sans" w:eastAsia="IBM Plex Sans" w:hAnsi="IBM Plex Sans" w:cs="IBM Plex Sans"/>
                <w:sz w:val="14"/>
                <w:szCs w:val="14"/>
              </w:rPr>
            </w:pPr>
          </w:p>
          <w:p w14:paraId="1B59C9B4" w14:textId="77777777" w:rsidR="002502D2" w:rsidRDefault="002502D2">
            <w:pPr>
              <w:spacing w:line="240" w:lineRule="auto"/>
              <w:rPr>
                <w:rFonts w:ascii="IBM Plex Sans" w:eastAsia="IBM Plex Sans" w:hAnsi="IBM Plex Sans" w:cs="IBM Plex Sans"/>
                <w:sz w:val="18"/>
                <w:szCs w:val="18"/>
              </w:rPr>
            </w:pPr>
          </w:p>
          <w:p w14:paraId="5E9BB456" w14:textId="77777777" w:rsidR="002502D2" w:rsidRDefault="002502D2">
            <w:pPr>
              <w:spacing w:line="240" w:lineRule="auto"/>
              <w:rPr>
                <w:rFonts w:ascii="IBM Plex Sans" w:eastAsia="IBM Plex Sans" w:hAnsi="IBM Plex Sans" w:cs="IBM Plex Sans"/>
                <w:b/>
                <w:bCs/>
                <w:sz w:val="22"/>
                <w:szCs w:val="22"/>
              </w:rPr>
            </w:pPr>
          </w:p>
          <w:p w14:paraId="16623F0E" w14:textId="77777777" w:rsidR="002502D2" w:rsidRDefault="00000000">
            <w:pPr>
              <w:spacing w:line="240" w:lineRule="auto"/>
              <w:rPr>
                <w:rFonts w:ascii="IBM Plex Sans" w:eastAsia="IBM Plex Sans" w:hAnsi="IBM Plex Sans" w:cs="IBM Plex Sans"/>
                <w:b/>
                <w:bCs/>
                <w:sz w:val="18"/>
                <w:szCs w:val="18"/>
              </w:rPr>
            </w:pPr>
            <w:r>
              <w:rPr>
                <w:rFonts w:ascii="IBM Plex Sans" w:eastAsia="IBM Plex Sans" w:hAnsi="IBM Plex Sans" w:cs="IBM Plex Sans"/>
                <w:b/>
                <w:bCs/>
                <w:sz w:val="18"/>
                <w:szCs w:val="18"/>
              </w:rPr>
              <w:t>Reference the Machine Learning Canvas</w:t>
            </w:r>
          </w:p>
          <w:p w14:paraId="5219C092" w14:textId="77777777" w:rsidR="002502D2" w:rsidRDefault="002502D2">
            <w:pPr>
              <w:spacing w:line="240" w:lineRule="auto"/>
              <w:rPr>
                <w:rFonts w:ascii="IBM Plex Sans" w:eastAsia="IBM Plex Sans" w:hAnsi="IBM Plex Sans" w:cs="IBM Plex Sans"/>
                <w:sz w:val="18"/>
                <w:szCs w:val="18"/>
              </w:rPr>
            </w:pPr>
          </w:p>
          <w:p w14:paraId="40FD7BA1" w14:textId="77777777" w:rsidR="002502D2" w:rsidRDefault="00000000">
            <w:pPr>
              <w:spacing w:line="240" w:lineRule="auto"/>
              <w:rPr>
                <w:rFonts w:ascii="IBM Plex Sans" w:eastAsia="IBM Plex Sans" w:hAnsi="IBM Plex Sans" w:cs="IBM Plex Sans"/>
                <w:sz w:val="18"/>
                <w:szCs w:val="18"/>
              </w:rPr>
            </w:pPr>
            <w:r>
              <w:rPr>
                <w:rFonts w:ascii="IBM Plex Sans" w:eastAsia="IBM Plex Sans" w:hAnsi="IBM Plex Sans" w:cs="IBM Plex Sans"/>
                <w:sz w:val="18"/>
                <w:szCs w:val="18"/>
              </w:rPr>
              <w:t>If you need to reference the Canvas formally (e.g. in documentation or publications), you may use:</w:t>
            </w:r>
          </w:p>
          <w:p w14:paraId="577C9A1E" w14:textId="77777777" w:rsidR="002502D2" w:rsidRDefault="002502D2">
            <w:pPr>
              <w:spacing w:line="240" w:lineRule="auto"/>
              <w:rPr>
                <w:rFonts w:ascii="IBM Plex Sans" w:eastAsia="IBM Plex Sans" w:hAnsi="IBM Plex Sans" w:cs="IBM Plex Sans"/>
                <w:sz w:val="18"/>
                <w:szCs w:val="18"/>
              </w:rPr>
            </w:pPr>
          </w:p>
          <w:p w14:paraId="62314770" w14:textId="77777777" w:rsidR="002502D2"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@misc{mlc,</w:t>
            </w:r>
          </w:p>
          <w:p w14:paraId="178E8C06" w14:textId="77777777" w:rsidR="002502D2"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 xml:space="preserve">  title  = "Machine Learning Canvas",</w:t>
            </w:r>
          </w:p>
          <w:p w14:paraId="529E9114" w14:textId="77777777" w:rsidR="002502D2"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 xml:space="preserve">  author = "Louis Dorard (OWNML)",</w:t>
            </w:r>
          </w:p>
          <w:p w14:paraId="2830905F" w14:textId="77777777" w:rsidR="002502D2"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 xml:space="preserve">  url    = "https://www.ownml.co/",</w:t>
            </w:r>
          </w:p>
          <w:p w14:paraId="6A1F59C3" w14:textId="77777777" w:rsidR="002502D2" w:rsidRDefault="00000000">
            <w:pPr>
              <w:spacing w:line="240" w:lineRule="auto"/>
              <w:rPr>
                <w:rFonts w:ascii="IBM Plex Mono" w:eastAsia="IBM Plex Mono" w:hAnsi="IBM Plex Mono" w:cs="IBM Plex Mono"/>
                <w:color w:val="B5A897"/>
                <w:sz w:val="18"/>
                <w:szCs w:val="18"/>
              </w:rPr>
            </w:pPr>
            <w:r>
              <w:rPr>
                <w:rFonts w:ascii="IBM Plex Mono" w:eastAsia="IBM Plex Mono" w:hAnsi="IBM Plex Mono" w:cs="IBM Plex Mono"/>
                <w:color w:val="B5A897"/>
                <w:sz w:val="18"/>
                <w:szCs w:val="18"/>
              </w:rPr>
              <w:t xml:space="preserve">  year   = "2015"</w:t>
            </w:r>
          </w:p>
          <w:p w14:paraId="4FC37218" w14:textId="77777777" w:rsidR="002502D2" w:rsidRDefault="00000000">
            <w:pPr>
              <w:spacing w:line="240" w:lineRule="auto"/>
              <w:rPr>
                <w:rFonts w:ascii="IBM Plex Sans" w:eastAsia="IBM Plex Sans" w:hAnsi="IBM Plex Sans" w:cs="IBM Plex Sans"/>
                <w:i/>
                <w:iCs/>
                <w:sz w:val="18"/>
                <w:szCs w:val="18"/>
              </w:rPr>
            </w:pPr>
            <w:r>
              <w:rPr>
                <w:rFonts w:ascii="IBM Plex Mono" w:eastAsia="IBM Plex Mono" w:hAnsi="IBM Plex Mono" w:cs="IBM Plex Mono"/>
                <w:color w:val="B5A897"/>
                <w:sz w:val="18"/>
                <w:szCs w:val="18"/>
              </w:rPr>
              <w:lastRenderedPageBreak/>
              <w:t>}</w:t>
            </w:r>
          </w:p>
          <w:p w14:paraId="17FCDDE9" w14:textId="77777777" w:rsidR="002502D2" w:rsidRDefault="002502D2">
            <w:pPr>
              <w:rPr>
                <w:rFonts w:ascii="IBM Plex Sans" w:eastAsia="IBM Plex Sans" w:hAnsi="IBM Plex Sans" w:cs="IBM Plex Sans"/>
                <w:sz w:val="18"/>
                <w:szCs w:val="18"/>
              </w:rPr>
            </w:pPr>
          </w:p>
        </w:tc>
      </w:tr>
      <w:tr w:rsidR="002502D2" w14:paraId="13CFDDB6" w14:textId="77777777">
        <w:tc>
          <w:tcPr>
            <w:tcW w:w="6630" w:type="dxa"/>
            <w:tcBorders>
              <w:top w:val="nil"/>
              <w:left w:val="nil"/>
              <w:bottom w:val="nil"/>
              <w:right w:val="nil"/>
            </w:tcBorders>
            <w:tcMar>
              <w:top w:w="100" w:type="dxa"/>
              <w:left w:w="100" w:type="dxa"/>
              <w:bottom w:w="100" w:type="dxa"/>
              <w:right w:w="100" w:type="dxa"/>
            </w:tcMar>
          </w:tcPr>
          <w:p w14:paraId="74D7BE2E" w14:textId="77777777" w:rsidR="002502D2" w:rsidRDefault="00000000">
            <w:pPr>
              <w:rPr>
                <w:rFonts w:ascii="IBM Plex Sans" w:eastAsia="IBM Plex Sans" w:hAnsi="IBM Plex Sans" w:cs="IBM Plex Sans"/>
                <w:color w:val="202020"/>
                <w:sz w:val="18"/>
                <w:szCs w:val="18"/>
              </w:rPr>
            </w:pPr>
            <w:r>
              <w:rPr>
                <w:rFonts w:ascii="IBM Plex Sans" w:eastAsia="IBM Plex Sans" w:hAnsi="IBM Plex Sans" w:cs="IBM Plex Sans"/>
                <w:i/>
                <w:iCs/>
                <w:sz w:val="18"/>
                <w:szCs w:val="18"/>
              </w:rPr>
              <w:lastRenderedPageBreak/>
              <w:t>"The Canvas allowed us to structure and focus our delivery sprints. The ML system went live in June 2020 and still is."</w:t>
            </w:r>
            <w:r>
              <w:rPr>
                <w:rFonts w:ascii="IBM Plex Sans" w:eastAsia="IBM Plex Sans" w:hAnsi="IBM Plex Sans" w:cs="IBM Plex Sans"/>
                <w:sz w:val="18"/>
                <w:szCs w:val="18"/>
              </w:rPr>
              <w:br/>
              <w:t>— Christian Schiller, Senior IT &amp; Enterprise Architect, Deutsche Telekom</w:t>
            </w:r>
          </w:p>
        </w:tc>
        <w:tc>
          <w:tcPr>
            <w:tcW w:w="870" w:type="dxa"/>
            <w:tcBorders>
              <w:top w:val="nil"/>
              <w:left w:val="nil"/>
              <w:bottom w:val="nil"/>
              <w:right w:val="nil"/>
            </w:tcBorders>
            <w:tcMar>
              <w:top w:w="100" w:type="dxa"/>
              <w:left w:w="100" w:type="dxa"/>
              <w:bottom w:w="100" w:type="dxa"/>
              <w:right w:w="100" w:type="dxa"/>
            </w:tcMar>
          </w:tcPr>
          <w:p w14:paraId="13A7E60C" w14:textId="77777777" w:rsidR="002502D2" w:rsidRDefault="002502D2">
            <w:pPr>
              <w:rPr>
                <w:rFonts w:ascii="IBM Plex Sans" w:eastAsia="IBM Plex Sans" w:hAnsi="IBM Plex Sans" w:cs="IBM Plex Sans"/>
                <w:b/>
                <w:bCs/>
                <w:sz w:val="18"/>
                <w:szCs w:val="18"/>
              </w:rPr>
            </w:pPr>
          </w:p>
        </w:tc>
        <w:tc>
          <w:tcPr>
            <w:tcW w:w="6900" w:type="dxa"/>
            <w:tcBorders>
              <w:top w:val="nil"/>
              <w:left w:val="nil"/>
              <w:bottom w:val="nil"/>
              <w:right w:val="nil"/>
            </w:tcBorders>
            <w:tcMar>
              <w:top w:w="100" w:type="dxa"/>
              <w:left w:w="100" w:type="dxa"/>
              <w:bottom w:w="100" w:type="dxa"/>
              <w:right w:w="100" w:type="dxa"/>
            </w:tcMar>
          </w:tcPr>
          <w:p w14:paraId="2B310D16" w14:textId="77777777" w:rsidR="002502D2" w:rsidRDefault="00000000">
            <w:pPr>
              <w:rPr>
                <w:rFonts w:ascii="IBM Plex Sans" w:eastAsia="IBM Plex Sans" w:hAnsi="IBM Plex Sans" w:cs="IBM Plex Sans"/>
                <w:b/>
                <w:bCs/>
                <w:sz w:val="18"/>
                <w:szCs w:val="18"/>
              </w:rPr>
            </w:pPr>
            <w:r>
              <w:rPr>
                <w:rFonts w:ascii="IBM Plex Sans" w:eastAsia="IBM Plex Sans" w:hAnsi="IBM Plex Sans" w:cs="IBM Plex Sans"/>
                <w:i/>
                <w:iCs/>
                <w:sz w:val="18"/>
                <w:szCs w:val="18"/>
              </w:rPr>
              <w:t>"MLC played an essential role in a positive project outcome. It is now being used throughout the organization."</w:t>
            </w:r>
            <w:r>
              <w:rPr>
                <w:rFonts w:ascii="IBM Plex Sans" w:eastAsia="IBM Plex Sans" w:hAnsi="IBM Plex Sans" w:cs="IBM Plex Sans"/>
                <w:sz w:val="18"/>
                <w:szCs w:val="18"/>
              </w:rPr>
              <w:br/>
              <w:t>— Daitan, now part of Coforge, a global IT services firm</w:t>
            </w:r>
          </w:p>
        </w:tc>
      </w:tr>
    </w:tbl>
    <w:p w14:paraId="287944FE" w14:textId="77777777" w:rsidR="002502D2" w:rsidRDefault="002502D2">
      <w:pPr>
        <w:rPr>
          <w:rFonts w:ascii="IBM Plex Sans" w:eastAsia="IBM Plex Sans" w:hAnsi="IBM Plex Sans" w:cs="IBM Plex Sans"/>
          <w:b/>
          <w:bCs/>
          <w:sz w:val="18"/>
          <w:szCs w:val="18"/>
        </w:rPr>
      </w:pPr>
    </w:p>
    <w:p w14:paraId="4F588EC0" w14:textId="77777777" w:rsidR="002502D2" w:rsidRDefault="002502D2">
      <w:pPr>
        <w:rPr>
          <w:rFonts w:ascii="IBM Plex Sans" w:eastAsia="IBM Plex Sans" w:hAnsi="IBM Plex Sans" w:cs="IBM Plex Sans"/>
          <w:b/>
          <w:bCs/>
          <w:sz w:val="18"/>
          <w:szCs w:val="18"/>
        </w:rPr>
      </w:pPr>
    </w:p>
    <w:sectPr w:rsidR="002502D2">
      <w:headerReference w:type="even" r:id="rId27"/>
      <w:headerReference w:type="default" r:id="rId28"/>
      <w:footerReference w:type="even" r:id="rId29"/>
      <w:footerReference w:type="default" r:id="rId30"/>
      <w:headerReference w:type="first" r:id="rId31"/>
      <w:footerReference w:type="first" r:id="rId32"/>
      <w:pgSz w:w="15840" w:h="12240" w:orient="landscape"/>
      <w:pgMar w:top="0" w:right="720" w:bottom="0" w:left="72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383116" w14:textId="77777777" w:rsidR="00B5575A" w:rsidRDefault="00B5575A" w:rsidP="00EB587F">
      <w:pPr>
        <w:spacing w:line="240" w:lineRule="auto"/>
      </w:pPr>
      <w:r>
        <w:separator/>
      </w:r>
    </w:p>
  </w:endnote>
  <w:endnote w:type="continuationSeparator" w:id="0">
    <w:p w14:paraId="4BB76AE0" w14:textId="77777777" w:rsidR="00B5575A" w:rsidRDefault="00B5575A" w:rsidP="00EB58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552BC0F0-B151-624F-90B1-DDF66247BB2E}"/>
  </w:font>
  <w:font w:name="Times New Roman">
    <w:panose1 w:val="02020603050405020304"/>
    <w:charset w:val="00"/>
    <w:family w:val="roman"/>
    <w:pitch w:val="variable"/>
    <w:sig w:usb0="E0002EFF" w:usb1="C000785B" w:usb2="00000009" w:usb3="00000000" w:csb0="000001FF" w:csb1="00000000"/>
    <w:embedRegular r:id="rId2" w:fontKey="{F850D665-C2DB-A24F-BA98-8A058FA1A12B}"/>
  </w:font>
  <w:font w:name="Poppins">
    <w:panose1 w:val="00000500000000000000"/>
    <w:charset w:val="4D"/>
    <w:family w:val="auto"/>
    <w:pitch w:val="variable"/>
    <w:sig w:usb0="00008007" w:usb1="00000000" w:usb2="00000000" w:usb3="00000000" w:csb0="00000093" w:csb1="00000000"/>
    <w:embedRegular r:id="rId3" w:fontKey="{E6043197-A3AF-FA4E-A44B-1EC70E162194}"/>
    <w:embedBold r:id="rId4" w:fontKey="{AEA91FB2-1EC9-BD42-91DA-0EAEBF40F895}"/>
  </w:font>
  <w:font w:name="Hind">
    <w:panose1 w:val="02000000000000000000"/>
    <w:charset w:val="4D"/>
    <w:family w:val="auto"/>
    <w:pitch w:val="variable"/>
    <w:sig w:usb0="00008007" w:usb1="00000000" w:usb2="00000000" w:usb3="00000000" w:csb0="00000093" w:csb1="00000000"/>
    <w:embedRegular r:id="rId5" w:fontKey="{CC325DD5-E10F-4C45-89BB-5D01274894B5}"/>
    <w:embedBold r:id="rId6" w:fontKey="{ABA40772-6A92-7C4E-B996-DFD4F999C2D9}"/>
  </w:font>
  <w:font w:name="Georgia">
    <w:panose1 w:val="02040502050405020303"/>
    <w:charset w:val="00"/>
    <w:family w:val="roman"/>
    <w:pitch w:val="variable"/>
    <w:sig w:usb0="00000287" w:usb1="00000000" w:usb2="00000000" w:usb3="00000000" w:csb0="0000009F" w:csb1="00000000"/>
    <w:embedItalic r:id="rId7" w:fontKey="{848CDB8F-AD66-754E-B3A7-AE899E722632}"/>
  </w:font>
  <w:font w:name="IBM Plex Sans">
    <w:panose1 w:val="020B0503050203000203"/>
    <w:charset w:val="00"/>
    <w:family w:val="swiss"/>
    <w:pitch w:val="variable"/>
    <w:sig w:usb0="A00002EF" w:usb1="5000207B" w:usb2="00000000" w:usb3="00000000" w:csb0="0000019F" w:csb1="00000000"/>
    <w:embedRegular r:id="rId8" w:fontKey="{E7113C3C-16EA-7847-8343-EF7B863E7C90}"/>
    <w:embedBold r:id="rId9" w:fontKey="{4E5AE6F0-DAAA-E84F-9ED3-89E1A402E173}"/>
    <w:embedItalic r:id="rId10" w:fontKey="{EE8E98B6-21D6-A043-AAB7-D1867DC127CE}"/>
  </w:font>
  <w:font w:name="Arial">
    <w:panose1 w:val="020B0604020202020204"/>
    <w:charset w:val="00"/>
    <w:family w:val="swiss"/>
    <w:pitch w:val="variable"/>
    <w:sig w:usb0="E0002AFF" w:usb1="C0007843" w:usb2="00000009" w:usb3="00000000" w:csb0="000001FF" w:csb1="00000000"/>
    <w:embedRegular r:id="rId11" w:fontKey="{05DD8EC5-64F4-A640-844A-BFAC406D6811}"/>
    <w:embedBold r:id="rId12" w:fontKey="{19B504A9-B2B5-4547-A745-F95E783E8037}"/>
  </w:font>
  <w:font w:name="IBM Plex Mono">
    <w:panose1 w:val="020B0509050203000203"/>
    <w:charset w:val="4D"/>
    <w:family w:val="modern"/>
    <w:pitch w:val="fixed"/>
    <w:sig w:usb0="A000026F" w:usb1="5000207B" w:usb2="00000000" w:usb3="00000000" w:csb0="00000197" w:csb1="00000000"/>
    <w:embedRegular r:id="rId13" w:fontKey="{1013DEB4-DA49-744A-8979-75E443EB29F3}"/>
  </w:font>
  <w:font w:name="Calibri">
    <w:panose1 w:val="020F0502020204030204"/>
    <w:charset w:val="00"/>
    <w:family w:val="modern"/>
    <w:pitch w:val="variable"/>
    <w:sig w:usb0="00000003" w:usb1="00000000" w:usb2="00000000" w:usb3="00000000" w:csb0="00000001" w:csb1="00000000"/>
    <w:embedRegular r:id="rId14" w:fontKey="{E52F6426-3D5C-5447-BB35-BDFB78028F7C}"/>
  </w:font>
  <w:font w:name="Cambria">
    <w:panose1 w:val="02040503050406030204"/>
    <w:charset w:val="00"/>
    <w:family w:val="roman"/>
    <w:notTrueType/>
    <w:pitch w:val="default"/>
    <w:embedRegular r:id="rId15" w:fontKey="{3A290A66-39B0-6049-B6DB-F323E07E11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D39DB8" w14:textId="77777777" w:rsidR="00EB587F" w:rsidRDefault="00EB587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265BB3" w14:textId="77777777" w:rsidR="00EB587F" w:rsidRDefault="00EB587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988835" w14:textId="77777777" w:rsidR="00EB587F" w:rsidRDefault="00EB58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101E6C" w14:textId="77777777" w:rsidR="00B5575A" w:rsidRDefault="00B5575A" w:rsidP="00EB587F">
      <w:pPr>
        <w:spacing w:line="240" w:lineRule="auto"/>
      </w:pPr>
      <w:r>
        <w:separator/>
      </w:r>
    </w:p>
  </w:footnote>
  <w:footnote w:type="continuationSeparator" w:id="0">
    <w:p w14:paraId="0E84FB2E" w14:textId="77777777" w:rsidR="00B5575A" w:rsidRDefault="00B5575A" w:rsidP="00EB58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8955C3" w14:textId="77777777" w:rsidR="00EB587F" w:rsidRDefault="00EB587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20F4E2" w14:textId="77777777" w:rsidR="00EB587F" w:rsidRDefault="00EB587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677626" w14:textId="77777777" w:rsidR="00EB587F" w:rsidRDefault="00EB5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9C7DC5"/>
    <w:multiLevelType w:val="multilevel"/>
    <w:tmpl w:val="DA2A293E"/>
    <w:lvl w:ilvl="0">
      <w:start w:val="1"/>
      <w:numFmt w:val="bullet"/>
      <w:lvlText w:val="●"/>
      <w:lvlJc w:val="left"/>
      <w:pPr>
        <w:ind w:left="720" w:hanging="360"/>
      </w:pPr>
      <w:rPr>
        <w:rFonts w:ascii="Roboto" w:eastAsia="Roboto" w:hAnsi="Roboto" w:cs="Roboto"/>
        <w:b w:val="0"/>
        <w:bCs w:val="0"/>
        <w:i w:val="0"/>
        <w:iCs w:val="0"/>
        <w:smallCaps w:val="0"/>
        <w:color w:val="20202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19010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2D2"/>
    <w:rsid w:val="002502D2"/>
    <w:rsid w:val="0046079F"/>
    <w:rsid w:val="004921A4"/>
    <w:rsid w:val="005837A7"/>
    <w:rsid w:val="0089516C"/>
    <w:rsid w:val="00B5575A"/>
    <w:rsid w:val="00BE0CE8"/>
    <w:rsid w:val="00EB58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9DEB2"/>
  <w15:docId w15:val="{86F56B87-55FD-9D4D-AC99-18017E44B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oppins" w:eastAsia="Poppins" w:hAnsi="Poppins" w:cs="Poppins"/>
        <w:sz w:val="24"/>
        <w:szCs w:val="24"/>
        <w:lang w:val="es-MX" w:eastAsia="es-MX"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40"/>
      <w:outlineLvl w:val="0"/>
    </w:pPr>
    <w:rPr>
      <w:rFonts w:ascii="Hind" w:eastAsia="Hind" w:hAnsi="Hind" w:cs="Hind"/>
      <w:b/>
      <w:bCs/>
      <w:color w:val="020094"/>
      <w:sz w:val="32"/>
      <w:szCs w:val="32"/>
    </w:rPr>
  </w:style>
  <w:style w:type="paragraph" w:styleId="Ttulo2">
    <w:name w:val="heading 2"/>
    <w:basedOn w:val="Normal"/>
    <w:next w:val="Normal"/>
    <w:uiPriority w:val="9"/>
    <w:unhideWhenUsed/>
    <w:qFormat/>
    <w:pPr>
      <w:spacing w:after="200"/>
      <w:outlineLvl w:val="1"/>
    </w:pPr>
    <w:rPr>
      <w:b/>
      <w:bCs/>
      <w:sz w:val="18"/>
      <w:szCs w:val="18"/>
    </w:rPr>
  </w:style>
  <w:style w:type="paragraph" w:styleId="Ttulo3">
    <w:name w:val="heading 3"/>
    <w:basedOn w:val="Normal"/>
    <w:next w:val="Normal"/>
    <w:uiPriority w:val="9"/>
    <w:unhideWhenUsed/>
    <w:qFormat/>
    <w:pPr>
      <w:spacing w:after="200"/>
      <w:outlineLvl w:val="2"/>
    </w:pPr>
    <w:rPr>
      <w:color w:val="999999"/>
      <w:sz w:val="12"/>
      <w:szCs w:val="12"/>
    </w:rPr>
  </w:style>
  <w:style w:type="paragraph" w:styleId="Ttulo4">
    <w:name w:val="heading 4"/>
    <w:basedOn w:val="Normal"/>
    <w:next w:val="Normal"/>
    <w:uiPriority w:val="9"/>
    <w:semiHidden/>
    <w:unhideWhenUsed/>
    <w:qFormat/>
    <w:pPr>
      <w:ind w:left="226"/>
      <w:outlineLvl w:val="3"/>
    </w:pPr>
    <w:rPr>
      <w:rFonts w:ascii="Hind" w:eastAsia="Hind" w:hAnsi="Hind" w:cs="Hind"/>
      <w:color w:val="666666"/>
      <w:sz w:val="16"/>
      <w:szCs w:val="16"/>
    </w:rPr>
  </w:style>
  <w:style w:type="paragraph" w:styleId="Ttulo5">
    <w:name w:val="heading 5"/>
    <w:basedOn w:val="Normal"/>
    <w:next w:val="Normal"/>
    <w:uiPriority w:val="9"/>
    <w:semiHidden/>
    <w:unhideWhenUsed/>
    <w:qFormat/>
    <w:pPr>
      <w:spacing w:before="255" w:after="255"/>
      <w:outlineLvl w:val="4"/>
    </w:pPr>
    <w:rPr>
      <w:b/>
      <w:bCs/>
      <w:sz w:val="18"/>
      <w:szCs w:val="18"/>
    </w:rPr>
  </w:style>
  <w:style w:type="paragraph" w:styleId="Ttulo6">
    <w:name w:val="heading 6"/>
    <w:basedOn w:val="Normal"/>
    <w:next w:val="Normal"/>
    <w:uiPriority w:val="9"/>
    <w:semiHidden/>
    <w:unhideWhenUsed/>
    <w:qFormat/>
    <w:pP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EB587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B587F"/>
  </w:style>
  <w:style w:type="paragraph" w:styleId="Piedepgina">
    <w:name w:val="footer"/>
    <w:basedOn w:val="Normal"/>
    <w:link w:val="PiedepginaCar"/>
    <w:uiPriority w:val="99"/>
    <w:unhideWhenUsed/>
    <w:rsid w:val="00EB587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B587F"/>
  </w:style>
  <w:style w:type="character" w:styleId="Hipervnculo">
    <w:name w:val="Hyperlink"/>
    <w:basedOn w:val="Fuentedeprrafopredeter"/>
    <w:uiPriority w:val="99"/>
    <w:unhideWhenUsed/>
    <w:rsid w:val="0046079F"/>
    <w:rPr>
      <w:color w:val="0000FF" w:themeColor="hyperlink"/>
      <w:u w:val="single"/>
    </w:rPr>
  </w:style>
  <w:style w:type="character" w:styleId="Mencinsinresolver">
    <w:name w:val="Unresolved Mention"/>
    <w:basedOn w:val="Fuentedeprrafopredeter"/>
    <w:uiPriority w:val="99"/>
    <w:semiHidden/>
    <w:unhideWhenUsed/>
    <w:rsid w:val="00460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alendar.google.com/calendar/u/0/appointments/schedules/AcZssZ01twDReOp1fMth80wKIkyE6nFz4y5c2NO7zRlU6rEBi5uUvW4v-2y58-xjuIBoo2GR10ZHKmEw"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mibici.net/es/datos-abiertos/" TargetMode="External"/><Relationship Id="rId17" Type="http://schemas.openxmlformats.org/officeDocument/2006/relationships/image" Target="media/image10.png"/><Relationship Id="rId25" Type="http://schemas.openxmlformats.org/officeDocument/2006/relationships/hyperlink" Target="https://www.ownml.co/"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ownml.co/"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creativecommons.org/licenses/by-sa/4.0/" TargetMode="External"/><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2401</Words>
  <Characters>13209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Netsaualkoyotl Romualdo Ramos</cp:lastModifiedBy>
  <cp:revision>2</cp:revision>
  <dcterms:created xsi:type="dcterms:W3CDTF">2026-10-15T03:59:00Z</dcterms:created>
  <dcterms:modified xsi:type="dcterms:W3CDTF">2026-10-15T04:45:00Z</dcterms:modified>
</cp:coreProperties>
</file>