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Setup Guide</w:t>
      </w:r>
    </w:p>
    <w:p>
      <w:r>
        <w:t>Use this guide to onboard the NTZ Bid Copilot for proposal, RFP, security questionnaire, and capability statement work.</w:t>
      </w:r>
    </w:p>
    <w:p>
      <w:pPr>
        <w:pStyle w:val="ListBullet"/>
      </w:pPr>
      <w:r>
        <w:t>Create a SharePoint site or document library dedicated to bid content with folders named master-qna, previous-rfps, security-whitepaper, capability-statement, and proposal-playbook.</w:t>
      </w:r>
    </w:p>
    <w:p>
      <w:pPr>
        <w:pStyle w:val="ListBullet"/>
      </w:pPr>
      <w:r>
        <w:t>Upload prior RFP answers, proposal templates, security documents, and capability statements so the agent can ground responses in your existing content.</w:t>
      </w:r>
    </w:p>
    <w:p>
      <w:pPr>
        <w:pStyle w:val="ListBullet"/>
      </w:pPr>
      <w:r>
        <w:t>Grant the signed-in user access to the relevant libraries and ensure the same permissions are inherited by the proposal team and SMEs.</w:t>
      </w:r>
    </w:p>
    <w:p>
      <w:pPr>
        <w:pStyle w:val="ListBullet"/>
      </w:pPr>
      <w:r>
        <w:t>Use the agent for draft responses, question matching, questionnaire completion, win review, and proposal document creation within Microsoft 365 Copilot and Teams.</w:t>
      </w:r>
    </w:p>
    <w:p>
      <w:pPr>
        <w:pStyle w:val="ListBullet"/>
      </w:pPr>
      <w:r>
        <w:t>Review outputs with legal, commercial, and delivery stakeholders before submitting anything externally.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