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Admin Runbook</w:t>
      </w:r>
    </w:p>
    <w:p>
      <w:r>
        <w:t>Use this runbook to configure access, content locations, and tenant readiness for the bid agent.</w:t>
      </w:r>
    </w:p>
    <w:p>
      <w:pPr>
        <w:pStyle w:val="ListBullet"/>
      </w:pPr>
      <w:r>
        <w:t>Verify the Microsoft 365 Copilot and Teams deployment for the proposal team and approved reviewers.</w:t>
      </w:r>
    </w:p>
    <w:p>
      <w:pPr>
        <w:pStyle w:val="ListBullet"/>
      </w:pPr>
      <w:r>
        <w:t>Ensure SharePoint libraries are indexed and accessible to the signed-in user account used by the agent.</w:t>
      </w:r>
    </w:p>
    <w:p>
      <w:pPr>
        <w:pStyle w:val="ListBullet"/>
      </w:pPr>
      <w:r>
        <w:t>Confirm that OneDrive and SharePoint connectors are enabled and that no sensitive content is exposed beyond approved users.</w:t>
      </w:r>
    </w:p>
    <w:p>
      <w:pPr>
        <w:pStyle w:val="ListBullet"/>
      </w:pPr>
      <w:r>
        <w:t>Create an ownership model for bid templates, proposal playbooks, and draft content so the library remains 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