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Security Whitepaper</w:t>
      </w:r>
    </w:p>
    <w:p>
      <w:r>
        <w:t>This sample is intended as a reusable starting point for security questionnaires and compliance discussions.</w:t>
      </w:r>
    </w:p>
    <w:p>
      <w:pPr>
        <w:pStyle w:val="ListBullet"/>
      </w:pPr>
      <w:r>
        <w:t>Capture your organization’s security posture, including identity, endpoint, data protection, and incident management controls.</w:t>
      </w:r>
    </w:p>
    <w:p>
      <w:pPr>
        <w:pStyle w:val="ListBullet"/>
      </w:pPr>
      <w:r>
        <w:t>Map each control to common customer security questionnaires and RFP requirements.</w:t>
      </w:r>
    </w:p>
    <w:p>
      <w:pPr>
        <w:pStyle w:val="ListBullet"/>
      </w:pPr>
      <w:r>
        <w:t>Add references to internal policies, standards, and evidence repositories to support answer quality.</w:t>
      </w:r>
    </w:p>
    <w:p>
      <w:pPr>
        <w:pStyle w:val="ListBullet"/>
      </w:pPr>
      <w:r>
        <w:t>Keep the document current and review it with the security team before each new bid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