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Competency Framework Template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[YOUR COMPANY NAME] — Role Levels and Core Competencies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template is provided by [YOUR COMPANY NAME] as the standard competency framework for job descriptions, interview kits, and scorecards.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BEFORE UPLOADING:</w:t>
      </w:r>
      <w:r>
        <w:rPr>
          <w:sz w:val="22"/>
          <w:szCs w:val="22"/>
          <w:rFonts w:ascii="Arial" w:cs="Arial" w:eastAsia="Arial" w:hAnsi="Arial"/>
        </w:rPr>
        <w:t xml:space="preserve"> Save this file as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competency-framework.docx</w:t>
      </w:r>
      <w:r>
        <w:rPr>
          <w:sz w:val="22"/>
          <w:szCs w:val="22"/>
          <w:rFonts w:ascii="Arial" w:cs="Arial" w:eastAsia="Arial" w:hAnsi="Arial"/>
        </w:rPr>
        <w:t xml:space="preserve"> and upload to your SharePoint Playbooks folder.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How to Use This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Every job description, interview kit, and scorecard the agent generates should reference the levels and competencies below.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Replace the example competencies with your company's actual leveling guide and core competencies.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Add role-family-specific technical competencies as separate sections (e.g., Engineering, Sales, Marketing, Operations).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Level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Level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Title Band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Years of Experience (typical)</w:t>
            </w:r>
          </w:p>
        </w:tc>
        <w:tc>
          <w:tcPr>
            <w:tcW w:type="pct" w:w="25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Scope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L1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Associate / Entry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0–2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Executes defined tasks with guidance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L2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Professional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2–5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Owns a workstream independently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L3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Senior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5–8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Owns a function or complex project; mentors others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L4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Staff / Lead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8–12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Sets direction for a team or domain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L5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Principal / Director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12+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Sets strategy across multiple teams or functions</w:t>
            </w:r>
          </w:p>
        </w:tc>
      </w:tr>
    </w:tbl>
    <w:p>
      <w:r/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Core Competencies (apply to all roles)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Communication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Communicates clearly in routine, structured situations.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Adapts communication style to audience; influences without authority.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Communicates strategy and vision to executive stakeholders.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Problem Solving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Solves well-defined problems using established methods.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Solves ambiguous problems; identifies root causes.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Frames problems at the organizational level; anticipates second-order effects.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Collaboration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Works effectively within own team.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Partners cross-functionally; resolves competing priorities.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Builds alignment across senior stakeholders and functions.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Ownership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Delivers assigned tasks reliably.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Drives outcomes proactively without being asked.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Owns business-level outcomes and accountability.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Role-Family Competencies — Example: Software Engineering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Technical Depth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Implements well-specified features with code review support.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Designs systems; makes sound architectural trade-offs.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Sets technical direction across multiple systems or teams.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Quality &amp; Reliability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Writes tested, maintainable code.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Establishes quality practices for a team.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Establishes engineering standards across the organization.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Role-Family Competencies — Example: Sales &amp; Marketing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Market/Customer Knowledge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Understands assigned territory or campaign segment.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Anticipates market shifts; advises on positioning.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Shapes go-to-market strategy.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Execution &amp; Results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L1–L2:</w:t>
      </w:r>
      <w:r>
        <w:rPr>
          <w:sz w:val="22"/>
          <w:szCs w:val="22"/>
          <w:rFonts w:ascii="Arial" w:cs="Arial" w:eastAsia="Arial" w:hAnsi="Arial"/>
        </w:rPr>
        <w:t xml:space="preserve"> Meets individual quota/campaign targets.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L3–L4:</w:t>
      </w:r>
      <w:r>
        <w:rPr>
          <w:sz w:val="22"/>
          <w:szCs w:val="22"/>
          <w:rFonts w:ascii="Arial" w:cs="Arial" w:eastAsia="Arial" w:hAnsi="Arial"/>
        </w:rPr>
        <w:t xml:space="preserve"> Consistently exceeds targets; coaches others.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L5:</w:t>
      </w:r>
      <w:r>
        <w:rPr>
          <w:sz w:val="22"/>
          <w:szCs w:val="22"/>
          <w:rFonts w:ascii="Arial" w:cs="Arial" w:eastAsia="Arial" w:hAnsi="Arial"/>
        </w:rPr>
        <w:t xml:space="preserve"> Owns revenue or pipeline strategy across a region or product line.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Notes for Interview Kit &amp; Scorecard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Map every interview question to one of the competencies above.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Use a consistent rating scale across panelists (recommended: 1–4, where 1 = Does Not Meet, 2 = Partially Meets, 3 = Meets, 4 = Exceeds).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Scorecards should reference the specific level the candidate is being evaluated against (e.g., evaluating an L3 candidate against L3 expectations, not L4).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Competency Framework Template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Competency Framework Template</dc:title>
  <dc:creator>Netsmartz LLC</dc:creator>
  <dc:description>NTZ Recruiting Copilot Customer Setup Kit</dc:description>
  <cp:lastModifiedBy>Un-named</cp:lastModifiedBy>
  <cp:revision>1</cp:revision>
  <dcterms:created xsi:type="dcterms:W3CDTF">2026-06-30T07:18:50.352Z</dcterms:created>
  <dcterms:modified xsi:type="dcterms:W3CDTF">2026-06-30T07:18:50.352Z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