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Hiring Playbook Template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 — Standard Positions on Talent Acquisition Engagements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BEFORE YOU UPLOAD — Customize this Template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Replace [YOUR COMPANY NAME] everywhere it appears with your company's name.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Review every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</w:t>
      </w:r>
      <w:r>
        <w:rPr>
          <w:sz w:val="22"/>
          <w:szCs w:val="22"/>
          <w:rFonts w:ascii="Arial" w:cs="Arial" w:eastAsia="Arial" w:hAnsi="Arial"/>
        </w:rPr>
        <w:t xml:space="preserve"> and edit to match your company's actual hiring practices. The values here are starting points; your industry and headcount may dictate different positions.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Pay particular attention to: Panel Composition, Offer Approval Thresholds, Time-to-Fill Targets.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Add company-specific clauses your business uses that this template doesn't cover.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Remove sections that don't apply to your business.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Save the file with name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hiring-playbook.docx</w:t>
      </w:r>
      <w:r>
        <w:rPr>
          <w:sz w:val="22"/>
          <w:szCs w:val="22"/>
          <w:rFonts w:ascii="Arial" w:cs="Arial" w:eastAsia="Arial" w:hAnsi="Arial"/>
        </w:rPr>
        <w:t xml:space="preserve"> (the agent discovers files with this exact name).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Upload to your SharePoint → Documents → Playbooks folder.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Requisition &amp; Sourcing — Standard Positions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Requisition Approval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New requisitions require Hiring Manager submission + HR Business Partner approval before sourcing begins. Backfills are pre-approved; net-new headcount requires VP-level sign-off.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Expedited approval for critical/urgent roles with CHRO authorization.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sourcing or outreach begins without an approved, open requisition on record.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Panel Composition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Minimum 3 panelists per role: Hiring Manager, one peer/technical panelist, one cross-functional panelist. Senior/Director+ roles add a skip-level panelist.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2-panelist minimum for high-volume/entry-level roles.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single-interviewer hiring decisions for roles above entry level. At least one panelist must be independent of the hiring manager's direct reporting chain.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Time-to-Fill Targets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30 days requisition-to-offer for standard individual contributor roles. 45 days for senior/specialist roles. 60+ days for executive search.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Targets adjusted for hard-to-fill or niche-skill roles; document rationale in the requisition.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Requisitions open beyond 90 days require pipeline review with HR leadership.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Interviewing &amp; Evaluation — Standard Positions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Competency Alignment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All interview questions and scorecards must map to the role's approved competency framework. No ad hoc or off-framework evaluation criteria.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Role-specific technical competencies may be added with Hiring Manager + HRBP sign-off.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evaluation on protected characteristics (age, race, gender, religion, disability, national origin, etc.) under any circumstance.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Scorecard Submission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Each panelist submits an independent scorecard within 24 hours of interview completion, before group discussion.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48-hour window for panelists across multiple time zones.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consensus discussion begins until all panelists have submitted independent scorecards.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Candidate Communication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Candidates receive acknowledgment within 2 business days of application and a decision (advance/reject) within 5 business days of final interview.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Extended timelines communicated proactively to the candidate if panel scheduling requires it.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candidate left without a status update for more than 10 business days.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Offer &amp; Closing — Standard Positions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Offer Approval Thresholds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Offers within approved salary band — Hiring Manager + HRBP approval. Offers above band — VP approval required. Exception offers (sign-on bonus above standard, accelerated equity) — CHRO approval required.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Pre-approved bands for competitive/critical roles on record with Finance.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verbal or written offer extended without HRBP sign-off. No compensation disclosed to a candidate that has not been approved.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Rejection &amp; Candidate Experience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Standard position:</w:t>
      </w:r>
      <w:r>
        <w:rPr>
          <w:sz w:val="22"/>
          <w:szCs w:val="22"/>
          <w:rFonts w:ascii="Arial" w:cs="Arial" w:eastAsia="Arial" w:hAnsi="Arial"/>
        </w:rPr>
        <w:t xml:space="preserve"> All rejected candidates receive a professional, role-specific notification. No generic feedback on protected characteristics or unverified claims about the candidate's fit.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Acceptable variations:</w:t>
      </w:r>
      <w:r>
        <w:rPr>
          <w:sz w:val="22"/>
          <w:szCs w:val="22"/>
          <w:rFonts w:ascii="Arial" w:cs="Arial" w:eastAsia="Arial" w:hAnsi="Arial"/>
        </w:rPr>
        <w:t xml:space="preserve"> Personalized feedback may be offered for candidates who reached final-round interviews, at the Hiring Manager's discretion.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Hard limits:</w:t>
      </w:r>
      <w:r>
        <w:rPr>
          <w:sz w:val="22"/>
          <w:szCs w:val="22"/>
          <w:rFonts w:ascii="Arial" w:cs="Arial" w:eastAsia="Arial" w:hAnsi="Arial"/>
        </w:rPr>
        <w:t xml:space="preserve"> No rejection reason that references a protected characteristic. No sharing of other candidates' information.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Hiring Playbook Template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Hiring Playbook Template</dc:title>
  <dc:creator>Netsmartz LLC</dc:creator>
  <dc:description>NTZ Recruiting Copilot Customer Setup Kit</dc:description>
  <cp:lastModifiedBy>Un-named</cp:lastModifiedBy>
  <cp:revision>1</cp:revision>
  <dcterms:created xsi:type="dcterms:W3CDTF">2026-06-30T07:18:50.254Z</dcterms:created>
  <dcterms:modified xsi:type="dcterms:W3CDTF">2026-06-30T07:18:50.254Z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