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Sample Learning Path</w:t>
      </w:r>
    </w:p>
    <w:p>
      <w:r>
        <w:rPr>
          <w:b w:val="0"/>
          <w:sz w:val="24"/>
        </w:rPr>
        <w:t>A sample learning path for onboarding and capability-building programs.</w:t>
      </w:r>
    </w:p>
    <w:p/>
    <w:p>
      <w:r>
        <w:rPr>
          <w:b/>
          <w:sz w:val="26"/>
        </w:rPr>
        <w:t>Key points</w:t>
      </w:r>
    </w:p>
    <w:p>
      <w:pPr>
        <w:pStyle w:val="ListBullet"/>
      </w:pPr>
      <w:r>
        <w:t>Foundation module for policy and process awareness.</w:t>
      </w:r>
    </w:p>
    <w:p>
      <w:pPr>
        <w:pStyle w:val="ListBullet"/>
      </w:pPr>
      <w:r>
        <w:t>Role-based modules for day-to-day execution.</w:t>
      </w:r>
    </w:p>
    <w:p>
      <w:pPr>
        <w:pStyle w:val="ListBullet"/>
      </w:pPr>
      <w:r>
        <w:t>Assessment checkpoints and practice activities.</w:t>
      </w:r>
    </w:p>
    <w:p>
      <w:pPr>
        <w:pStyle w:val="ListBullet"/>
      </w:pPr>
      <w:r>
        <w:t>Review and certification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