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Analysis Report - Q4 2023</w:t>
      </w:r>
    </w:p>
    <w:p>
      <w:pPr>
        <w:pStyle w:val="Heading2"/>
        <w:jc w:val="center"/>
      </w:pPr>
      <w:r>
        <w:t>Comprehensive Review of Financial Performance</w:t>
      </w:r>
    </w:p>
    <w:p>
      <w:pPr>
        <w:pStyle w:val="Heading1"/>
      </w:pPr>
      <w:r>
        <w:t>Executive Summary</w:t>
      </w:r>
    </w:p>
    <w:p>
      <w:r>
        <w:t>This report provides a comprehensive analysis of our financial performance for the fourth quarter of 2023. The analysis covers revenue trends, expense management, profitability metrics, and strategic recommendations for the upcoming fiscal year.</w:t>
      </w:r>
    </w:p>
    <w:p>
      <w:pPr>
        <w:pStyle w:val="Heading1"/>
      </w:pPr>
      <w:r>
        <w:t>Financial Highlights</w:t>
      </w:r>
    </w:p>
    <w:p>
      <w:r>
        <w:rPr>
          <w:b/>
        </w:rPr>
        <w:t>Key Performance Indicators:</w:t>
        <w:br/>
      </w:r>
      <w:r>
        <w:t>• Total Revenue: $45.2M (↑ 12% YoY)</w:t>
        <w:br/>
      </w:r>
      <w:r>
        <w:t>• Gross Profit Margin: 68.5%</w:t>
        <w:br/>
      </w:r>
      <w:r>
        <w:t>• Operating Expenses: $18.3M</w:t>
        <w:br/>
      </w:r>
      <w:r>
        <w:t>• Net Income: $8.7M</w:t>
        <w:br/>
      </w:r>
      <w:r>
        <w:t>• Cash Flow from Operations: $10.2M</w:t>
        <w:br/>
      </w:r>
    </w:p>
    <w:p>
      <w:pPr>
        <w:pStyle w:val="Heading1"/>
      </w:pPr>
      <w:r>
        <w:t>Revenue Analysis</w:t>
      </w:r>
    </w:p>
    <w:p>
      <w:r>
        <w:t>Q4 2023 marked a significant milestone in our revenue growth trajectory. The 12% year-over-year increase was driven primarily by:</w:t>
      </w:r>
    </w:p>
    <w:p>
      <w:r>
        <w:rPr>
          <w:b/>
        </w:rPr>
        <w:t>1. Product Revenue</w:t>
        <w:br/>
      </w:r>
      <w:r>
        <w:t xml:space="preserve">   Product sales increased by 15% to $32.1M, representing 71% of total revenue. This growth was fueled by strong demand in the enterprise segment and successful product launches in Q3.</w:t>
        <w:br/>
        <w:br/>
      </w:r>
      <w:r>
        <w:rPr>
          <w:b/>
        </w:rPr>
        <w:t>2. Service Revenue</w:t>
        <w:br/>
      </w:r>
      <w:r>
        <w:t xml:space="preserve">   Service revenue grew by 8% to $13.1M, driven by increased adoption of our premium support packages and professional services offerings.</w:t>
        <w:br/>
        <w:br/>
      </w:r>
    </w:p>
    <w:p>
      <w:pPr>
        <w:pStyle w:val="Heading2"/>
      </w:pPr>
      <w:r>
        <w:t>Market Segment Performance</w:t>
      </w:r>
    </w:p>
    <w:p>
      <w:r>
        <w:t>Our diversified market approach continued to yield positive results across all segments: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Segment</w:t>
            </w:r>
          </w:p>
        </w:tc>
        <w:tc>
          <w:tcPr>
            <w:tcW w:type="dxa" w:w="2160"/>
          </w:tcPr>
          <w:p>
            <w:r>
              <w:t>Revenue ($M)</w:t>
            </w:r>
          </w:p>
        </w:tc>
        <w:tc>
          <w:tcPr>
            <w:tcW w:type="dxa" w:w="2160"/>
          </w:tcPr>
          <w:p>
            <w:r>
              <w:t>Growth (%)</w:t>
            </w:r>
          </w:p>
        </w:tc>
        <w:tc>
          <w:tcPr>
            <w:tcW w:type="dxa" w:w="2160"/>
          </w:tcPr>
          <w:p>
            <w:r>
              <w:t>Market Share (%)</w:t>
            </w:r>
          </w:p>
        </w:tc>
      </w:tr>
      <w:tr>
        <w:tc>
          <w:tcPr>
            <w:tcW w:type="dxa" w:w="2160"/>
          </w:tcPr>
          <w:p>
            <w:r>
              <w:t>Enterprise</w:t>
            </w:r>
          </w:p>
        </w:tc>
        <w:tc>
          <w:tcPr>
            <w:tcW w:type="dxa" w:w="2160"/>
          </w:tcPr>
          <w:p>
            <w:r>
              <w:t>22.5</w:t>
            </w:r>
          </w:p>
        </w:tc>
        <w:tc>
          <w:tcPr>
            <w:tcW w:type="dxa" w:w="2160"/>
          </w:tcPr>
          <w:p>
            <w:r>
              <w:t>+18%</w:t>
            </w:r>
          </w:p>
        </w:tc>
        <w:tc>
          <w:tcPr>
            <w:tcW w:type="dxa" w:w="2160"/>
          </w:tcPr>
          <w:p>
            <w:r>
              <w:t>45%</w:t>
            </w:r>
          </w:p>
        </w:tc>
      </w:tr>
      <w:tr>
        <w:tc>
          <w:tcPr>
            <w:tcW w:type="dxa" w:w="2160"/>
          </w:tcPr>
          <w:p>
            <w:r>
              <w:t>Mid-Market</w:t>
            </w:r>
          </w:p>
        </w:tc>
        <w:tc>
          <w:tcPr>
            <w:tcW w:type="dxa" w:w="2160"/>
          </w:tcPr>
          <w:p>
            <w:r>
              <w:t>15.3</w:t>
            </w:r>
          </w:p>
        </w:tc>
        <w:tc>
          <w:tcPr>
            <w:tcW w:type="dxa" w:w="2160"/>
          </w:tcPr>
          <w:p>
            <w:r>
              <w:t>+10%</w:t>
            </w:r>
          </w:p>
        </w:tc>
        <w:tc>
          <w:tcPr>
            <w:tcW w:type="dxa" w:w="2160"/>
          </w:tcPr>
          <w:p>
            <w:r>
              <w:t>32%</w:t>
            </w:r>
          </w:p>
        </w:tc>
      </w:tr>
      <w:tr>
        <w:tc>
          <w:tcPr>
            <w:tcW w:type="dxa" w:w="2160"/>
          </w:tcPr>
          <w:p>
            <w:r>
              <w:t>Small Business</w:t>
            </w:r>
          </w:p>
        </w:tc>
        <w:tc>
          <w:tcPr>
            <w:tcW w:type="dxa" w:w="2160"/>
          </w:tcPr>
          <w:p>
            <w:r>
              <w:t>7.4</w:t>
            </w:r>
          </w:p>
        </w:tc>
        <w:tc>
          <w:tcPr>
            <w:tcW w:type="dxa" w:w="2160"/>
          </w:tcPr>
          <w:p>
            <w:r>
              <w:t>+5%</w:t>
            </w:r>
          </w:p>
        </w:tc>
        <w:tc>
          <w:tcPr>
            <w:tcW w:type="dxa" w:w="2160"/>
          </w:tcPr>
          <w:p>
            <w:r>
              <w:t>20%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3%</w:t>
            </w:r>
          </w:p>
        </w:tc>
      </w:tr>
    </w:tbl>
    <w:p>
      <w:r>
        <w:br w:type="page"/>
      </w:r>
    </w:p>
    <w:p>
      <w:pPr>
        <w:pStyle w:val="Heading1"/>
      </w:pPr>
      <w:r>
        <w:t>Expense Management</w:t>
      </w:r>
    </w:p>
    <w:p>
      <w:r>
        <w:t>Operating expenses were carefully managed throughout Q4, with a focus on operational efficiency while maintaining strategic investments in growth areas.</w:t>
      </w:r>
    </w:p>
    <w:p>
      <w:pPr>
        <w:pStyle w:val="Heading2"/>
      </w:pPr>
      <w:r>
        <w:t>Operating Expense Breakdown</w:t>
      </w:r>
    </w:p>
    <w:p>
      <w:r>
        <w:t>• Sales &amp; Marketing: $7.2M (39% of OpEx)</w:t>
        <w:br/>
      </w:r>
      <w:r>
        <w:t>• Research &amp; Development: $5.8M (32% of OpEx)</w:t>
        <w:br/>
      </w:r>
      <w:r>
        <w:t>• General &amp; Administrative: $3.1M (17% of OpEx)</w:t>
        <w:br/>
      </w:r>
      <w:r>
        <w:t>• Other Operating Expenses: $2.2M (12% of OpEx)</w:t>
        <w:br/>
      </w:r>
    </w:p>
    <w:p>
      <w:pPr>
        <w:pStyle w:val="Heading1"/>
      </w:pPr>
      <w:r>
        <w:t>Profitability Analysis</w:t>
      </w:r>
    </w:p>
    <w:p>
      <w:r>
        <w:t>Our profitability metrics showed strong improvement in Q4, with expanded margins across all key indicators:</w:t>
      </w:r>
    </w:p>
    <w:p>
      <w:r>
        <w:rPr>
          <w:b/>
        </w:rPr>
        <w:t xml:space="preserve">Gross Profit Margin: </w:t>
      </w:r>
      <w:r>
        <w:t>68.5% (up from 65.2% in Q4 2022)</w:t>
        <w:br/>
      </w:r>
      <w:r>
        <w:rPr>
          <w:b/>
        </w:rPr>
        <w:t xml:space="preserve">Operating Margin: </w:t>
      </w:r>
      <w:r>
        <w:t>28.3% (up from 24.1% in Q4 2022)</w:t>
        <w:br/>
      </w:r>
      <w:r>
        <w:rPr>
          <w:b/>
        </w:rPr>
        <w:t xml:space="preserve">Net Profit Margin: </w:t>
      </w:r>
      <w:r>
        <w:t>19.2% (up from 16.8% in Q4 2022)</w:t>
        <w:br/>
      </w:r>
    </w:p>
    <w:p>
      <w:pPr>
        <w:pStyle w:val="Heading1"/>
      </w:pPr>
      <w:r>
        <w:t>Cash Flow and Liquidity</w:t>
      </w:r>
    </w:p>
    <w:p>
      <w:r>
        <w:t>Cash generation remained strong in Q4, providing ample liquidity for operations and strategic investments.</w:t>
      </w:r>
    </w:p>
    <w:p>
      <w:r>
        <w:rPr>
          <w:b/>
        </w:rPr>
        <w:t>Cash Flow Highlights:</w:t>
        <w:br/>
      </w:r>
      <w:r>
        <w:t>• Operating Cash Flow: $10.2M</w:t>
        <w:br/>
      </w:r>
      <w:r>
        <w:t>• Free Cash Flow: $8.1M</w:t>
        <w:br/>
      </w:r>
      <w:r>
        <w:t>• Cash &amp; Equivalents: $45.3M</w:t>
        <w:br/>
      </w:r>
      <w:r>
        <w:t>• Working Capital: $38.7M</w:t>
        <w:br/>
      </w:r>
    </w:p>
    <w:p>
      <w:r>
        <w:br w:type="page"/>
      </w:r>
    </w:p>
    <w:p>
      <w:pPr>
        <w:pStyle w:val="Heading1"/>
      </w:pPr>
      <w:r>
        <w:t>Strategic Recommendations</w:t>
      </w:r>
    </w:p>
    <w:p>
      <w:r>
        <w:t>Based on our Q4 performance analysis, we recommend the following strategic initiatives for 2024:</w:t>
      </w:r>
    </w:p>
    <w:p>
      <w:r>
        <w:rPr>
          <w:b/>
        </w:rPr>
        <w:t>1. Market Expansion</w:t>
        <w:br/>
      </w:r>
      <w:r>
        <w:t xml:space="preserve">   Accelerate international expansion efforts, particularly in APAC and European markets where we see significant growth potential.</w:t>
        <w:br/>
        <w:br/>
      </w:r>
      <w:r>
        <w:rPr>
          <w:b/>
        </w:rPr>
        <w:t>2. Product Innovation</w:t>
        <w:br/>
      </w:r>
      <w:r>
        <w:t xml:space="preserve">   Increase R&amp;D investment by 15% to maintain our competitive edge and address emerging customer needs in AI and automation.</w:t>
        <w:br/>
        <w:br/>
      </w:r>
      <w:r>
        <w:rPr>
          <w:b/>
        </w:rPr>
        <w:t>3. Operational Excellence</w:t>
        <w:br/>
      </w:r>
      <w:r>
        <w:t xml:space="preserve">   Implement advanced analytics and automation tools to further improve operational efficiency and reduce costs by 10%.</w:t>
        <w:br/>
        <w:br/>
      </w:r>
      <w:r>
        <w:rPr>
          <w:b/>
        </w:rPr>
        <w:t>4. Strategic Partnerships</w:t>
        <w:br/>
      </w:r>
      <w:r>
        <w:t xml:space="preserve">   Develop strategic partnerships with key technology providers to enhance our product ecosystem and market reach.</w:t>
        <w:br/>
        <w:br/>
      </w:r>
    </w:p>
    <w:p>
      <w:pPr>
        <w:pStyle w:val="Heading1"/>
      </w:pPr>
      <w:r>
        <w:t>Risk Factors and Mitigation</w:t>
      </w:r>
    </w:p>
    <w:p>
      <w:r>
        <w:t>While our Q4 performance was strong, we must remain vigilant about potential risks:</w:t>
      </w:r>
    </w:p>
    <w:p>
      <w:r>
        <w:rPr>
          <w:b/>
        </w:rPr>
        <w:t xml:space="preserve">• Market Competition: </w:t>
      </w:r>
      <w:r>
        <w:t>Increasing competition requires continuous innovation and differentiation</w:t>
        <w:br/>
      </w:r>
      <w:r>
        <w:rPr>
          <w:b/>
        </w:rPr>
        <w:t xml:space="preserve">• Economic Uncertainty: </w:t>
      </w:r>
      <w:r>
        <w:t>Global economic conditions may impact customer spending patterns</w:t>
        <w:br/>
      </w:r>
      <w:r>
        <w:rPr>
          <w:b/>
        </w:rPr>
        <w:t xml:space="preserve">• Talent Retention: </w:t>
      </w:r>
      <w:r>
        <w:t>Competitive talent market requires enhanced retention strategies</w:t>
        <w:br/>
      </w:r>
      <w:r>
        <w:rPr>
          <w:b/>
        </w:rPr>
        <w:t xml:space="preserve">• Regulatory Changes: </w:t>
      </w:r>
      <w:r>
        <w:t>Evolving regulations may require compliance investments</w:t>
        <w:br/>
      </w:r>
    </w:p>
    <w:p>
      <w:pPr>
        <w:pStyle w:val="Heading1"/>
      </w:pPr>
      <w:r>
        <w:t>Conclusion</w:t>
      </w:r>
    </w:p>
    <w:p>
      <w:r>
        <w:t>Q4 2023 demonstrated strong execution across all business areas, resulting in record revenue and improved profitability. Our strategic positioning and operational excellence provide a solid foundation for continued growth in 2024. With focused execution on our strategic initiatives and careful risk management, we are well-positioned to deliver sustained value to all stakeholders.</w:t>
      </w:r>
    </w:p>
    <w:p>
      <w:r>
        <w:br w:type="page"/>
      </w:r>
    </w:p>
    <w:p>
      <w:pPr>
        <w:jc w:val="center"/>
      </w:pPr>
      <w:r>
        <w:t>This report is confidential and proprietary. Distribution is limited to authorized personnel only.</w:t>
        <w:br/>
      </w:r>
      <w:r>
        <w:t>© 2024 Sample Corporation.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