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Lisensi Perangkat Lunak Proprietari</w:t>
      </w:r>
    </w:p>
    <w:p>
      <w:pPr/>
      <w:r>
        <w:rPr>
          <w:b/>
        </w:rPr>
        <w:t xml:space="preserve">Risalah Madina Tour</w:t>
      </w:r>
    </w:p>
    <w:p>
      <w:pPr/>
      <w:r>
        <w:t xml:space="preserve">Versi 1.0 · Draf untuk pemeriksaan hukum</w:t>
      </w:r>
    </w:p>
    <w:p>
      <w:pPr>
        <w:pBdr>
          <w:bottom w:val="single" w:sz="6" w:space="1" w:color="auto"/>
        </w:pBdr>
      </w:pPr>
    </w:p>
    <w:p>
      <w:pPr/>
      <w:r>
        <w:t xml:space="preserve">Hak Cipta © 2026 NODE (Neural Operations &amp; Digital Engineering), Risalah Madina Tour (RMT), dan Yayasan Pondok Digitalpreneur Abdurrahman Bin Auf Cirebon (ABA), sesuai kontribusi dan perjanjian tertulis masing-masing. NODE berkedudukan sebagai pemegang utama/pengelola dan Pemberi Lisensi. Seluruh hak dilindungi.</w:t>
      </w:r>
    </w:p>
    <w:p>
      <w:pPr>
        <w:pStyle w:val="Quote"/>
      </w:pPr>
      <w:r>
        <w:rPr>
          <w:b/>
        </w:rPr>
        <w:t xml:space="preserve">Catatan penting.</w:t>
      </w:r>
      <w:r>
        <w:t xml:space="preserve"> Dokumen ini adalah rancangan lisensi khusus, bukan nasihat hukum. Sebelum digunakan sebagai dokumen final, konfirmasikan ejaan nama resmi, tahun publikasi, kapasitas hukum NODE, kewenangan perwakilan, dan pembagian hak antarpihak.</w:t>
      </w:r>
    </w:p>
    <w:p>
      <w:pPr>
        <w:pStyle w:val="Heading2"/>
      </w:pPr>
      <w:r>
        <w:t xml:space="preserve">Pasal 1. Definisi</w:t>
      </w:r>
    </w:p>
    <w:p>
      <w:pPr/>
      <w:r>
        <w:t xml:space="preserve">1.1 </w:t>
      </w:r>
      <w:r>
        <w:rPr>
          <w:b/>
        </w:rPr>
        <w:t xml:space="preserve">"Pemegang Hak"</w:t>
      </w:r>
      <w:r>
        <w:t xml:space="preserve"> berarti NODE, RMT, dan ABA, masing-masing sesuai kontribusi, materi, dan perjanjian tertulis yang sah.</w:t>
      </w:r>
    </w:p>
    <w:p>
      <w:pPr/>
      <w:r>
        <w:t xml:space="preserve">1.2 </w:t>
      </w:r>
      <w:r>
        <w:rPr>
          <w:b/>
        </w:rPr>
        <w:t xml:space="preserve">"Pemberi Lisensi"</w:t>
      </w:r>
      <w:r>
        <w:t xml:space="preserve"> berarti NODE, selaku pemegang utama/pengelola hak proyek.</w:t>
      </w:r>
    </w:p>
    <w:p>
      <w:pPr/>
      <w:r>
        <w:t xml:space="preserve">1.3 </w:t>
      </w:r>
      <w:r>
        <w:rPr>
          <w:b/>
        </w:rPr>
        <w:t xml:space="preserve">"Material Berlisensi"</w:t>
      </w:r>
      <w:r>
        <w:t xml:space="preserve"> berarti kode sumber, struktur proyek, komponen, modul, algoritma, konfigurasi khusus proyek, dokumentasi, desain antarmuka, teks, dan aset orisinal yang secara sah dimiliki atau dikendalikan oleh Pemegang Hak dalam repositori ini.</w:t>
      </w:r>
    </w:p>
    <w:p>
      <w:pPr/>
      <w:r>
        <w:t xml:space="preserve">1.4 </w:t>
      </w:r>
      <w:r>
        <w:rPr>
          <w:b/>
        </w:rPr>
        <w:t xml:space="preserve">"Penerima"</w:t>
      </w:r>
      <w:r>
        <w:t xml:space="preserve"> berarti setiap pihak yang memperoleh akses ke Material Berlisensi.</w:t>
      </w:r>
    </w:p>
    <w:p>
      <w:pPr/>
      <w:r>
        <w:t xml:space="preserve">1.5 </w:t>
      </w:r>
      <w:r>
        <w:rPr>
          <w:b/>
        </w:rPr>
        <w:t xml:space="preserve">"Material Pihak Ketiga"</w:t>
      </w:r>
      <w:r>
        <w:t xml:space="preserve"> berarti materi sebagaimana dimaksud dalam Pasal 2.2.</w:t>
      </w:r>
    </w:p>
    <w:p>
      <w:pPr>
        <w:pStyle w:val="Heading2"/>
      </w:pPr>
      <w:r>
        <w:t xml:space="preserve">Pasal 2. Ruang Lingkup</w:t>
      </w:r>
    </w:p>
    <w:p>
      <w:pPr/>
      <w:r>
        <w:t xml:space="preserve">2.1 </w:t>
      </w:r>
      <w:r>
        <w:rPr>
          <w:b/>
        </w:rPr>
        <w:t xml:space="preserve">Para pihak.</w:t>
      </w:r>
      <w:r>
        <w:t xml:space="preserve"> NODE adalah studio boutique dan pemegang utama/pengelola hak proyek. RMT adalah badan usaha yang menggunakan situs ini untuk penjualan jasa umroh dan travel. ABA adalah yayasan yang menjalankan subunit atau cabang bisnis RMT. Pembagian hak yang lebih rinci di antara ketiganya harus didukung perjanjian tertulis.</w:t>
      </w:r>
    </w:p>
    <w:p>
      <w:pPr/>
      <w:r>
        <w:t xml:space="preserve">2.2 </w:t>
      </w:r>
      <w:r>
        <w:rPr>
          <w:b/>
        </w:rPr>
        <w:t xml:space="preserve">Pengecualian.</w:t>
      </w:r>
      <w:r>
        <w:t xml:space="preserve"> Material Berlisensi tidak mencakup:</w:t>
      </w:r>
    </w:p>
    <w:p>
      <w:pPr>
        <w:pStyle w:val="ListParagraph"/>
        <w:numPr>
          <w:ilvl w:val="0"/>
          <w:numId w:val="2"/>
        </w:numPr>
      </w:pPr>
      <w:r>
        <w:t xml:space="preserve">a. perangkat lunak pihak ketiga beserta dependensinya;</w:t>
      </w:r>
    </w:p>
    <w:p>
      <w:pPr>
        <w:pStyle w:val="ListParagraph"/>
        <w:numPr>
          <w:ilvl w:val="0"/>
          <w:numId w:val="2"/>
        </w:numPr>
      </w:pPr>
      <w:r>
        <w:t xml:space="preserve">b. font, foto, video, ikon, logo, merek, atau materi lain milik pihak ketiga;</w:t>
      </w:r>
    </w:p>
    <w:p>
      <w:pPr>
        <w:pStyle w:val="ListParagraph"/>
        <w:numPr>
          <w:ilvl w:val="0"/>
          <w:numId w:val="2"/>
        </w:numPr>
      </w:pPr>
      <w:r>
        <w:t xml:space="preserve">c. materi di direktori </w:t>
      </w:r>
      <w:r>
        <w:rPr>
          <w:rStyle w:val="CodeChar"/>
        </w:rPr>
        <w:t xml:space="preserve">example_pages</w:t>
      </w:r>
      <w:r>
        <w:t xml:space="preserve"> atau aset referensi yang haknya belum dibuktikan;</w:t>
      </w:r>
    </w:p>
    <w:p>
      <w:pPr>
        <w:pStyle w:val="ListParagraph"/>
        <w:numPr>
          <w:ilvl w:val="0"/>
          <w:numId w:val="2"/>
        </w:numPr>
      </w:pPr>
      <w:r>
        <w:t xml:space="preserve">d. data, konten, atau merek milik klien/pemilik usaha yang diberikan kepada proyek; dan</w:t>
      </w:r>
    </w:p>
    <w:p>
      <w:pPr>
        <w:pStyle w:val="ListParagraph"/>
        <w:numPr>
          <w:ilvl w:val="0"/>
          <w:numId w:val="2"/>
        </w:numPr>
      </w:pPr>
      <w:r>
        <w:t xml:space="preserve">e. materi yang secara tegas ditandai memiliki lisensi lain.</w:t>
      </w:r>
    </w:p>
    <w:p>
      <w:pPr/>
      <w:r>
        <w:t xml:space="preserve">Setiap materi tersebut tetap tunduk pada lisensi atau izin pemiliknya masing-masing.</w:t>
      </w:r>
    </w:p>
    <w:p>
      <w:pPr>
        <w:pStyle w:val="Heading2"/>
      </w:pPr>
      <w:r>
        <w:t xml:space="preserve">Pasal 3. Kepemilikan</w:t>
      </w:r>
    </w:p>
    <w:p>
      <w:pPr/>
      <w:r>
        <w:t xml:space="preserve">3.1 Hak cipta atas Material Berlisensi tetap berada pada NODE sebagai pemegang utama/pengelola proyek, serta pada RMT dan ABA sejauh hak tersebut berasal dari kontribusi, materi, atau perjanjian yang sah.</w:t>
      </w:r>
    </w:p>
    <w:p>
      <w:pPr/>
      <w:r>
        <w:t xml:space="preserve">3.2 Pemberian izin terbatas dalam lisensi ini tidak mengalihkan hak cipta, hak moral, merek, rahasia dagang, atau hak kekayaan intelektual lainnya.</w:t>
      </w:r>
    </w:p>
    <w:p>
      <w:pPr/>
      <w:r>
        <w:t xml:space="preserve">3.3 Tidak ada ketentuan dalam lisensi ini yang mengklaim kepemilikan atas Material Pihak Ketiga.</w:t>
      </w:r>
    </w:p>
    <w:p>
      <w:pPr/>
      <w:r>
        <w:t xml:space="preserve">3.4 NODE berwenang bertindak sebagai Pemberi Lisensi dan titik komunikasi utama berdasarkan struktur proyek yang ditetapkan pemilik proyek. Kewenangan tersebut harus didukung dokumen internal atau perjanjian tertulis apabila lisensi ini digunakan untuk penegakan hak atau transaksi komersial.</w:t>
      </w:r>
    </w:p>
    <w:p>
      <w:pPr>
        <w:pStyle w:val="Heading2"/>
      </w:pPr>
      <w:r>
        <w:t xml:space="preserve">Pasal 4. Izin Terbatas</w:t>
      </w:r>
    </w:p>
    <w:p>
      <w:pPr/>
      <w:r>
        <w:t xml:space="preserve">4.1 Hak eksklusif atas Material Berlisensi tetap berada pada Pemegang Hak. Tanpa perjanjian tertulis lain, setiap Penerima hanya memperoleh izin yang bersifat terbatas, pribadi, nonekslusif, tidak dapat dialihkan, tidak dapat disublisensikan, berlaku global, dan dapat dihentikan. Izin ini berlaku tanpa batas waktu selama hak atas Material Berlisensi masih dilindungi, sepanjang tidak dihentikan menurut lisensi ini atau hukum yang berlaku.</w:t>
      </w:r>
    </w:p>
    <w:p>
      <w:pPr/>
      <w:r>
        <w:t xml:space="preserve">4.2 Izin terbatas tersebut meliputi:</w:t>
      </w:r>
    </w:p>
    <w:p>
      <w:pPr>
        <w:pStyle w:val="ListParagraph"/>
        <w:numPr>
          <w:ilvl w:val="0"/>
          <w:numId w:val="3"/>
        </w:numPr>
      </w:pPr>
      <w:r>
        <w:t xml:space="preserve">a. membaca dan mengevaluasi Material Berlisensi;</w:t>
      </w:r>
    </w:p>
    <w:p>
      <w:pPr>
        <w:pStyle w:val="ListParagraph"/>
        <w:numPr>
          <w:ilvl w:val="0"/>
          <w:numId w:val="3"/>
        </w:numPr>
      </w:pPr>
      <w:r>
        <w:t xml:space="preserve">b. menjalankan salinan lokal secara pribadi untuk keperluan evaluasi, pendidikan, atau penelitian nonkomersial;</w:t>
      </w:r>
    </w:p>
    <w:p>
      <w:pPr>
        <w:pStyle w:val="ListParagraph"/>
        <w:numPr>
          <w:ilvl w:val="0"/>
          <w:numId w:val="3"/>
        </w:numPr>
      </w:pPr>
      <w:r>
        <w:t xml:space="preserve">c. membuat perubahan lokal yang tidak dipublikasikan dan tidak diberikan kepada pihak lain, untuk keperluan evaluasi, pendidikan, atau penelitian nonkomersial; dan</w:t>
      </w:r>
    </w:p>
    <w:p>
      <w:pPr>
        <w:pStyle w:val="ListParagraph"/>
        <w:numPr>
          <w:ilvl w:val="0"/>
          <w:numId w:val="3"/>
        </w:numPr>
      </w:pPr>
      <w:r>
        <w:t xml:space="preserve">d. memakai Material Berlisensi sebagai referensi atau templat terbatas, dengan syarat Penerima:</w:t>
      </w:r>
    </w:p>
    <w:p>
      <w:pPr>
        <w:pStyle w:val="ListParagraph"/>
        <w:numPr>
          <w:ilvl w:val="1"/>
          <w:numId w:val="4"/>
        </w:numPr>
      </w:pPr>
      <w:r>
        <w:t xml:space="preserve">(i) tidak menyalin secara substansial kode atau konten orisinal;</w:t>
      </w:r>
    </w:p>
    <w:p>
      <w:pPr>
        <w:pStyle w:val="ListParagraph"/>
        <w:numPr>
          <w:ilvl w:val="1"/>
          <w:numId w:val="4"/>
        </w:numPr>
      </w:pPr>
      <w:r>
        <w:t xml:space="preserve">(ii) tidak mengklaim keaslian karya Pemegang Hak; dan</w:t>
      </w:r>
    </w:p>
    <w:p>
      <w:pPr>
        <w:pStyle w:val="ListParagraph"/>
        <w:numPr>
          <w:ilvl w:val="1"/>
          <w:numId w:val="4"/>
        </w:numPr>
      </w:pPr>
      <w:r>
        <w:t xml:space="preserve">(iii) mencantumkan atribusi pada kode serta secara terlihat pada situs yang dihasilkan.</w:t>
      </w:r>
    </w:p>
    <w:p>
      <w:pPr/>
      <w:r>
        <w:t xml:space="preserve">4.3 Penggunaan situs yang telah dipublikasikan melalui peramban, semata-mata sebagai pengguna akhir, tidak memberikan hak untuk memperoleh atau menggunakan kode sumbernya.</w:t>
      </w:r>
    </w:p>
    <w:p>
      <w:pPr>
        <w:pStyle w:val="Heading2"/>
      </w:pPr>
      <w:r>
        <w:t xml:space="preserve">Pasal 5. Pembatasan</w:t>
      </w:r>
    </w:p>
    <w:p>
      <w:pPr/>
      <w:r>
        <w:t xml:space="preserve">5.1 Kecuali diizinkan secara tegas oleh lisensi ini atau perjanjian tertulis terpisah, Penerima dilarang:</w:t>
      </w:r>
    </w:p>
    <w:p>
      <w:pPr>
        <w:pStyle w:val="ListParagraph"/>
        <w:numPr>
          <w:ilvl w:val="0"/>
          <w:numId w:val="5"/>
        </w:numPr>
      </w:pPr>
      <w:r>
        <w:t xml:space="preserve">a. menyalin, memperbanyak, menerbitkan ulang, menjual, menyewakan, meminjamkan, atau mendistribusikan Material Berlisensi atau bagian substansialnya;</w:t>
      </w:r>
    </w:p>
    <w:p>
      <w:pPr>
        <w:pStyle w:val="ListParagraph"/>
        <w:numPr>
          <w:ilvl w:val="0"/>
          <w:numId w:val="5"/>
        </w:numPr>
      </w:pPr>
      <w:r>
        <w:t xml:space="preserve">b. menyediakan Material Berlisensi sebagai layanan, templat, </w:t>
      </w:r>
      <w:r>
        <w:rPr>
          <w:i/>
        </w:rPr>
        <w:t xml:space="preserve">starter kit</w:t>
      </w:r>
      <w:r>
        <w:t xml:space="preserve">, produk, repositori, atau komponen bagi pihak lain, kecuali penggunaan templat terbatas yang memenuhi Pasal 4.2(d) dan tidak bersifat komersial tanpa izin tertulis;</w:t>
      </w:r>
    </w:p>
    <w:p>
      <w:pPr>
        <w:pStyle w:val="ListParagraph"/>
        <w:numPr>
          <w:ilvl w:val="0"/>
          <w:numId w:val="5"/>
        </w:numPr>
      </w:pPr>
      <w:r>
        <w:t xml:space="preserve">c. menggunakan Material Berlisensi sebagai dasar produk, situs, aplikasi, atau proyek turunan dengan menyalin secara substansial kode atau konten orisinal, baik untuk diri sendiri maupun pihak lain;</w:t>
      </w:r>
    </w:p>
    <w:p>
      <w:pPr>
        <w:pStyle w:val="ListParagraph"/>
        <w:numPr>
          <w:ilvl w:val="0"/>
          <w:numId w:val="5"/>
        </w:numPr>
      </w:pPr>
      <w:r>
        <w:t xml:space="preserve">d. memodifikasi lalu mempublikasikan, menjual, melisensikan, mensublisensikan, atau mendistribusikan hasil modifikasi;</w:t>
      </w:r>
    </w:p>
    <w:p>
      <w:pPr>
        <w:pStyle w:val="ListParagraph"/>
        <w:numPr>
          <w:ilvl w:val="0"/>
          <w:numId w:val="5"/>
        </w:numPr>
      </w:pPr>
      <w:r>
        <w:t xml:space="preserve">e. menghapus atau mengubah pemberitahuan hak cipta, atribusi, </w:t>
      </w:r>
      <w:r>
        <w:rPr>
          <w:i/>
        </w:rPr>
        <w:t xml:space="preserve">watermark</w:t>
      </w:r>
      <w:r>
        <w:t xml:space="preserve">, atau penanda kepemilikan;</w:t>
      </w:r>
    </w:p>
    <w:p>
      <w:pPr>
        <w:pStyle w:val="ListParagraph"/>
        <w:numPr>
          <w:ilvl w:val="0"/>
          <w:numId w:val="5"/>
        </w:numPr>
      </w:pPr>
      <w:r>
        <w:t xml:space="preserve">f. melakukan </w:t>
      </w:r>
      <w:r>
        <w:rPr>
          <w:i/>
        </w:rPr>
        <w:t xml:space="preserve">reverse engineering</w:t>
      </w:r>
      <w:r>
        <w:t xml:space="preserve">, dekompilasi, atau pembongkaran, sejauh larangan tersebut diperbolehkan oleh hukum yang berlaku; atau</w:t>
      </w:r>
    </w:p>
    <w:p>
      <w:pPr>
        <w:pStyle w:val="ListParagraph"/>
        <w:numPr>
          <w:ilvl w:val="0"/>
          <w:numId w:val="5"/>
        </w:numPr>
      </w:pPr>
      <w:r>
        <w:t xml:space="preserve">g. menggunakan Material Berlisensi untuk melanggar hukum, menipu, merugikan, atau mengeksploitasi pihak lain.</w:t>
      </w:r>
    </w:p>
    <w:p>
      <w:pPr/>
      <w:r>
        <w:t xml:space="preserve">5.2 Larangan dalam pasal ini tidak menghapus pengecualian atau pembatasan hak cipta yang diwajibkan oleh hukum yang berlaku.</w:t>
      </w:r>
    </w:p>
    <w:p>
      <w:pPr>
        <w:pStyle w:val="Heading2"/>
      </w:pPr>
      <w:r>
        <w:t xml:space="preserve">Pasal 6. Penggunaan Komersial dan Izin Terpisah</w:t>
      </w:r>
    </w:p>
    <w:p>
      <w:pPr/>
      <w:r>
        <w:t xml:space="preserve">6.1 Hal-hal berikut memerlukan izin tertulis yang eksplisit atau perjanjian lisensi komersial terpisah dari Pemegang Hak:</w:t>
      </w:r>
    </w:p>
    <w:p>
      <w:pPr>
        <w:pStyle w:val="ListParagraph"/>
        <w:numPr>
          <w:ilvl w:val="0"/>
          <w:numId w:val="6"/>
        </w:numPr>
      </w:pPr>
      <w:r>
        <w:t xml:space="preserve">a. penggunaan komersial;</w:t>
      </w:r>
    </w:p>
    <w:p>
      <w:pPr>
        <w:pStyle w:val="ListParagraph"/>
        <w:numPr>
          <w:ilvl w:val="0"/>
          <w:numId w:val="6"/>
        </w:numPr>
      </w:pPr>
      <w:r>
        <w:t xml:space="preserve">b. penggunaan oleh badan usaha;</w:t>
      </w:r>
    </w:p>
    <w:p>
      <w:pPr>
        <w:pStyle w:val="ListParagraph"/>
        <w:numPr>
          <w:ilvl w:val="0"/>
          <w:numId w:val="6"/>
        </w:numPr>
      </w:pPr>
      <w:r>
        <w:t xml:space="preserve">c. penggunaan untuk klien atau </w:t>
      </w:r>
      <w:r>
        <w:rPr>
          <w:i/>
        </w:rPr>
        <w:t xml:space="preserve">deployment</w:t>
      </w:r>
      <w:r>
        <w:t xml:space="preserve"> bagi pihak lain;</w:t>
      </w:r>
    </w:p>
    <w:p>
      <w:pPr>
        <w:pStyle w:val="ListParagraph"/>
        <w:numPr>
          <w:ilvl w:val="0"/>
          <w:numId w:val="6"/>
        </w:numPr>
      </w:pPr>
      <w:r>
        <w:t xml:space="preserve">d. redistribusi;</w:t>
      </w:r>
    </w:p>
    <w:p>
      <w:pPr>
        <w:pStyle w:val="ListParagraph"/>
        <w:numPr>
          <w:ilvl w:val="0"/>
          <w:numId w:val="6"/>
        </w:numPr>
      </w:pPr>
      <w:r>
        <w:t xml:space="preserve">e. pembuatan karya turunan; dan</w:t>
      </w:r>
    </w:p>
    <w:p>
      <w:pPr>
        <w:pStyle w:val="ListParagraph"/>
        <w:numPr>
          <w:ilvl w:val="0"/>
          <w:numId w:val="6"/>
        </w:numPr>
      </w:pPr>
      <w:r>
        <w:t xml:space="preserve">f. integrasi ke produk lain.</w:t>
      </w:r>
    </w:p>
    <w:p>
      <w:pPr/>
      <w:r>
        <w:t xml:space="preserve">6.2 Perjanjian tersebut dapat menetapkan ruang lingkup, wilayah, masa berlaku, biaya, royalti, dukungan, kewajiban atribusi, dan hak audit.</w:t>
      </w:r>
    </w:p>
    <w:p>
      <w:pPr/>
      <w:r>
        <w:t xml:space="preserve">6.3 Permohonan izin dikirim ke alamat pada Pasal 12.</w:t>
      </w:r>
    </w:p>
    <w:p>
      <w:pPr>
        <w:pStyle w:val="Heading2"/>
      </w:pPr>
      <w:r>
        <w:t xml:space="preserve">Pasal 7. Pengakhiran</w:t>
      </w:r>
    </w:p>
    <w:p>
      <w:pPr/>
      <w:r>
        <w:t xml:space="preserve">7.1 Apabila Penerima melanggar ketentuan lisensi ini, Pemberi Lisensi berhak mengirimkan pemberitahuan tertulis yang menjelaskan bentuk pelanggaran dan tindakan perbaikan yang diperlukan.</w:t>
      </w:r>
    </w:p>
    <w:p>
      <w:pPr/>
      <w:r>
        <w:t xml:space="preserve">7.2 Penerima diberi waktu 14 (empat belas) hari kalender sejak pemberitahuan diterima untuk memperbaiki pelanggaran.</w:t>
      </w:r>
    </w:p>
    <w:p>
      <w:pPr/>
      <w:r>
        <w:t xml:space="preserve">7.3 Apabila pelanggaran tidak diperbaiki dalam jangka waktu tersebut, izin penggunaan dapat dihentikan sesuai lisensi ini dan hukum yang berlaku.</w:t>
      </w:r>
    </w:p>
    <w:p>
      <w:pPr/>
      <w:r>
        <w:t xml:space="preserve">7.4 Pengakhiran izin tidak menghapus tanggung jawab atas pelanggaran yang telah terjadi sebelumnya.</w:t>
      </w:r>
    </w:p>
    <w:p>
      <w:pPr/>
      <w:r>
        <w:t xml:space="preserve">7.5 Setelah pengakhiran, Penerima wajib menghentikan penggunaan dan menghapus seluruh salinan Material Berlisensi yang berada dalam penguasaannya, kecuali penyimpanan yang diwajibkan oleh hukum.</w:t>
      </w:r>
    </w:p>
    <w:p>
      <w:pPr>
        <w:pStyle w:val="Heading2"/>
      </w:pPr>
      <w:r>
        <w:t xml:space="preserve">Pasal 8. Tanpa Jaminan</w:t>
      </w:r>
    </w:p>
    <w:p>
      <w:pPr/>
      <w:r>
        <w:t xml:space="preserve">Sejauh diizinkan oleh hukum, Material Berlisensi disediakan </w:t>
      </w:r>
      <w:r>
        <w:rPr>
          <w:b/>
        </w:rPr>
        <w:t xml:space="preserve">"SEBAGAIMANA ADANYA"</w:t>
      </w:r>
      <w:r>
        <w:t xml:space="preserve">. Pemegang Hak menyangkal segala jaminan, baik tersurat, tersirat, maupun statuter, termasuk jaminan kesesuaian untuk tujuan tertentu, kelayakan diperdagangkan, keamanan, dan tidak adanya pelanggaran hak pihak lain, kecuali jaminan yang tidak dapat ditiadakan oleh hukum.</w:t>
      </w:r>
    </w:p>
    <w:p>
      <w:pPr>
        <w:pStyle w:val="Heading2"/>
      </w:pPr>
      <w:r>
        <w:t xml:space="preserve">Pasal 9. Batasan Tanggung Jawab</w:t>
      </w:r>
    </w:p>
    <w:p>
      <w:pPr/>
      <w:r>
        <w:t xml:space="preserve">9.1 Sejauh diizinkan oleh hukum, Pemegang Hak tidak bertanggung jawab atas kerugian tidak langsung, insidental, khusus, atau konsekuensial, kehilangan keuntungan, kehilangan data, atau gangguan usaha yang timbul dari penggunaan atau ketidakmampuan menggunakan Material Berlisensi.</w:t>
      </w:r>
    </w:p>
    <w:p>
      <w:pPr/>
      <w:r>
        <w:t xml:space="preserve">9.2 Pasal ini tidak membatasi tanggung jawab yang tidak boleh dibatasi menurut hukum yang berlaku, termasuk akibat kesengajaan atau hal lain yang wajib ditanggung menurut hukum.</w:t>
      </w:r>
    </w:p>
    <w:p>
      <w:pPr>
        <w:pStyle w:val="Heading2"/>
      </w:pPr>
      <w:r>
        <w:t xml:space="preserve">Pasal 10. Hukum yang Berlaku dan Penyelesaian Sengketa</w:t>
      </w:r>
    </w:p>
    <w:p>
      <w:pPr/>
      <w:r>
        <w:t xml:space="preserve">10.1 Lisensi ini diatur dan ditafsirkan berdasarkan hukum Republik Indonesia, termasuk peraturan mengenai hak cipta dan kekayaan intelektual yang relevan.</w:t>
      </w:r>
    </w:p>
    <w:p>
      <w:pPr/>
      <w:r>
        <w:t xml:space="preserve">10.2 Setiap sengketa terlebih dahulu diupayakan penyelesaiannya melalui musyawarah.</w:t>
      </w:r>
    </w:p>
    <w:p>
      <w:pPr/>
      <w:r>
        <w:t xml:space="preserve">10.3 Apabila musyawarah tidak mencapai kesepakatan, sengketa dapat diajukan kepada pengadilan atau forum penyelesaian sengketa lain yang berwenang berdasarkan hukum Republik Indonesia.</w:t>
      </w:r>
    </w:p>
    <w:p>
      <w:pPr/>
      <w:r>
        <w:t xml:space="preserve">10.4 Forum dan domisili yang lebih spesifik perlu dikonfirmasi oleh profesional hukum.</w:t>
      </w:r>
    </w:p>
    <w:p>
      <w:pPr>
        <w:pStyle w:val="Heading2"/>
      </w:pPr>
      <w:r>
        <w:t xml:space="preserve">Pasal 11. Ketentuan Umum</w:t>
      </w:r>
    </w:p>
    <w:p>
      <w:pPr/>
      <w:r>
        <w:t xml:space="preserve">11.1 Apabila suatu ketentuan dinyatakan tidak berlaku, ketentuan lainnya tetap berlaku sejauh diizinkan hukum.</w:t>
      </w:r>
    </w:p>
    <w:p>
      <w:pPr/>
      <w:r>
        <w:t xml:space="preserve">11.2 Kegagalan menegakkan suatu ketentuan bukan merupakan pengesampingan permanen atas ketentuan tersebut.</w:t>
      </w:r>
    </w:p>
    <w:p>
      <w:pPr/>
      <w:r>
        <w:t xml:space="preserve">11.3 Lisensi ini tidak memberikan hak atas merek, nama dagang, logo, atau konten bisnis yang tidak termasuk Material Berlisensi.</w:t>
      </w:r>
    </w:p>
    <w:p>
      <w:pPr/>
      <w:r>
        <w:t xml:space="preserve">11.4 Dengan menggunakan, menyalin, atau memodifikasi Material Berlisensi, Penerima menyatakan telah membaca dan menyetujui ketentuan ini sejauh hukum mengizinkan. Penerima yang tidak menyetujui ketentuan ini tidak boleh menggunakan Material Berlisensi.</w:t>
      </w:r>
    </w:p>
    <w:p>
      <w:pPr>
        <w:pStyle w:val="Heading2"/>
      </w:pPr>
      <w:r>
        <w:t xml:space="preserve">Pasal 12. Kontak Resmi</w:t>
      </w:r>
    </w:p>
    <w:p>
      <w:pPr/>
      <w:r>
        <w:t xml:space="preserve">Permintaan izin, laporan dugaan pelanggaran, dan korespondensi penegakan hak cipta ditujukan kepada:</w:t>
      </w:r>
    </w:p>
    <w:p>
      <w:pPr/>
      <w:r>
        <w:rPr>
          <w:b/>
        </w:rPr>
        <w:t xml:space="preserve">Email:</w:t>
      </w:r>
      <w:r>
        <w:t xml:space="preserve"> finance.budsteam@gmail.com</w:t>
      </w:r>
    </w:p>
    <w:p>
      <w:pPr/>
      <w:r>
        <w:rPr>
          <w:b/>
        </w:rPr>
        <w:t xml:space="preserve">Alamat Pemberi Lisensi:</w:t>
      </w:r>
      <w:r>
        <w:t xml:space="preserve"> Jl. Mulya 2, RT.005/RW.006, Karyamulya, Kec. Kesambi, Kota Cirebon, Jawa Barat 45131</w:t>
      </w:r>
    </w:p>
    <w:p>
      <w:pPr/>
      <w:r>
        <w:t xml:space="preserve">Penggunaan alamat ini tidak dengan sendirinya mengubah kepemilikan hak cipta atau membuktikan bahwa pemberitahuan telah diterima secara sah.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Lisensi Perangkat Lunak Proprietari</dc:title>
  <dc:description>Claude Docs node/588006a3-bc76@1 docx-w6</dc:description>
  <cp:revision>1</cp:revision>
</cp:coreProperties>
</file>