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SOP-IT-021: User Access Request</w:t>
      </w:r>
    </w:p>
    <w:p>
      <w:r>
        <w:t>SYNTHETIC SAMPLE for testing the policy compiler. Version 1.0. Owner: IT Service Management.</w:t>
      </w:r>
    </w:p>
    <w:p>
      <w:pPr>
        <w:pStyle w:val="Heading1"/>
      </w:pPr>
      <w:r>
        <w:t>1 Purpose</w:t>
      </w:r>
    </w:p>
    <w:p>
      <w:r>
        <w:t>1.1 This procedure describes how employees request access to company IT systems.</w:t>
      </w:r>
    </w:p>
    <w:p>
      <w:pPr>
        <w:pStyle w:val="Heading1"/>
      </w:pPr>
      <w:r>
        <w:t>2 Procedure</w:t>
      </w:r>
    </w:p>
    <w:p>
      <w:r>
        <w:t>2.1 The requester submits the access request form in the IT portal.</w:t>
      </w:r>
    </w:p>
    <w:p>
      <w:r>
        <w:t>2.2 The line manager approves or rejects the request within 2 business days.</w:t>
      </w:r>
    </w:p>
    <w:p>
      <w:r>
        <w:t>2.3 For privileged (administrator) access, the Information Security team reviews the request after manager approval.</w:t>
      </w:r>
    </w:p>
    <w:p>
      <w:r>
        <w:t>2.4 The IT Service Desk provisions access and notifies the requester.</w:t>
      </w:r>
    </w:p>
    <w:p>
      <w:r>
        <w:t>2.5 Access must be reviewed periodically.</w:t>
      </w:r>
    </w:p>
    <w:p>
      <w:r>
        <w:drawing>
          <wp:inline xmlns:a="http://schemas.openxmlformats.org/drawingml/2006/main" xmlns:pic="http://schemas.openxmlformats.org/drawingml/2006/picture">
            <wp:extent cx="5760720" cy="2808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access-reques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Access request flow</w:t>
      </w:r>
    </w:p>
    <w:p>
      <w:pPr>
        <w:pStyle w:val="Heading1"/>
      </w:pPr>
      <w:r>
        <w:t>3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Access type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Line manager</w:t>
            </w:r>
          </w:p>
        </w:tc>
      </w:tr>
      <w:tr>
        <w:tc>
          <w:tcPr>
            <w:tcW w:type="dxa" w:w="4320"/>
          </w:tcPr>
          <w:p>
            <w:r>
              <w:t>Privileged</w:t>
            </w:r>
          </w:p>
        </w:tc>
        <w:tc>
          <w:tcPr>
            <w:tcW w:type="dxa" w:w="4320"/>
          </w:tcPr>
          <w:p>
            <w:r>
              <w:t>Line manager and Information Security</w:t>
            </w:r>
          </w:p>
        </w:tc>
      </w:tr>
      <w:tr>
        <w:tc>
          <w:tcPr>
            <w:tcW w:type="dxa" w:w="4320"/>
          </w:tcPr>
          <w:p>
            <w:r>
              <w:t>Emergency</w:t>
            </w:r>
          </w:p>
        </w:tc>
        <w:tc>
          <w:tcPr>
            <w:tcW w:type="dxa" w:w="4320"/>
          </w:tcPr>
          <w:p>
            <w:r>
              <w:t>IT Duty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