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400"/>
      </w:pPr>
      <w:r>
        <w:rPr>
          <w:rFonts w:ascii="Calibri" w:cs="Calibri" w:eastAsia="Calibri" w:hAnsi="Calibri"/>
          <w:b/>
          <w:bCs/>
          <w:color w:val="365BFF"/>
          <w:sz w:val="72"/>
          <w:szCs w:val="72"/>
        </w:rPr>
        <w:t xml:space="preserve">NEURAVIC</w:t>
      </w:r>
    </w:p>
    <w:p>
      <w:pPr>
        <w:spacing w:after="200"/>
      </w:pPr>
      <w:r>
        <w:rPr>
          <w:rFonts w:ascii="Calibri" w:cs="Calibri" w:eastAsia="Calibri" w:hAnsi="Calibri"/>
          <w:sz w:val="36"/>
          <w:szCs w:val="36"/>
        </w:rPr>
        <w:t xml:space="preserve">Company Profile and System Status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Updated 18 October 2026 for the current state of the repository (frontend NFE, backend NBE, Test, Security, Docs). Version 2.1.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How to read this document. </w:t>
      </w:r>
      <w:r>
        <w:rPr>
          <w:rFonts w:ascii="Calibri" w:cs="Calibri" w:eastAsia="Calibri" w:hAnsi="Calibri"/>
          <w:sz w:val="21"/>
          <w:szCs w:val="21"/>
        </w:rPr>
        <w:t xml:space="preserve">Items tagged </w:t>
      </w: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come straight from the code or README. Items tagged </w:t>
      </w: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BUILT  </w:t>
      </w:r>
      <w:r>
        <w:rPr>
          <w:rFonts w:ascii="Calibri" w:cs="Calibri" w:eastAsia="Calibri" w:hAnsi="Calibri"/>
          <w:sz w:val="21"/>
          <w:szCs w:val="21"/>
        </w:rPr>
        <w:t xml:space="preserve">are implemented and covered by tests. Items tagged </w:t>
      </w: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OPEN  </w:t>
      </w:r>
      <w:r>
        <w:rPr>
          <w:rFonts w:ascii="Calibri" w:cs="Calibri" w:eastAsia="Calibri" w:hAnsi="Calibri"/>
          <w:sz w:val="21"/>
          <w:szCs w:val="21"/>
        </w:rPr>
        <w:t xml:space="preserve">are not done yet. The companion PDF, Neuravic_Backend_Architecture.pdf, holds the technical design; its Appendix B shows how the build differs from it.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Company: </w:t>
      </w:r>
      <w:r>
        <w:rPr>
          <w:rFonts w:ascii="Calibri" w:cs="Calibri" w:eastAsia="Calibri" w:hAnsi="Calibri"/>
          <w:sz w:val="21"/>
          <w:szCs w:val="21"/>
        </w:rPr>
        <w:t xml:space="preserve">Neuravic is a multidisciplinary engineering company in Dubai and Cairo that builds AI systems, software platforms, product experience and operations as one accountable team.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the marketing site is now connected to the backend. The contact form creates enquiries, the page content comes from the API, and the header Portal button opens a working client portal.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a TypeScript API on Cloudflare Workers (Hono, D1) with lead intake, passwordless sign-in, organisations and roles, requests with approvals, file attachments, an admin area and single sign-on tokens for DARKAGENT and COOLACCESS_DXB.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Quality: </w:t>
      </w:r>
      <w:r>
        <w:rPr>
          <w:rFonts w:ascii="Calibri" w:cs="Calibri" w:eastAsia="Calibri" w:hAnsi="Calibri"/>
          <w:sz w:val="21"/>
          <w:szCs w:val="21"/>
        </w:rPr>
        <w:t xml:space="preserve">91 backend tests, browser end-to-end and accessibility tests, a security policy and threat model, weekly dependency and secret checks. No known vulnerabilities in production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Repository: </w:t>
      </w:r>
      <w:r>
        <w:rPr>
          <w:rFonts w:ascii="Calibri" w:cs="Calibri" w:eastAsia="Calibri" w:hAnsi="Calibri"/>
          <w:sz w:val="21"/>
          <w:szCs w:val="21"/>
        </w:rPr>
        <w:t xml:space="preserve">NFE (frontend), NBE (backend), Test, Security, Docs and a README. Everything is on GitHub, merged into 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 done yet: </w:t>
      </w:r>
      <w:r>
        <w:rPr>
          <w:rFonts w:ascii="Calibri" w:cs="Calibri" w:eastAsia="Calibri" w:hAnsi="Calibri"/>
          <w:sz w:val="21"/>
          <w:szCs w:val="21"/>
        </w:rPr>
        <w:t xml:space="preserve">a second sign-in factor for staff, virus scanning of uploads, production deployment and monitoring, and the open decisions in section 8.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Who Neuravic is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Neuravic combines AI, software, product design and operations to build "systems people can actually run." Hero message: "We turn complex operations into intelligent systems." Browser title: "Neuravic — Intelligent Systems for Complex Operations".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Locations and team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Offices in Dubai (United Arab Emirates) and Cairo (Egypt). The site says "Three people. One accountable team.": two in Cairo, one in Dubai, "distributed by design." Names, roles and portraits are placeholders ("Name / role to be added").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Services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10"/>
        <w:gridCol w:w="6425"/>
      </w:tblGrid>
      <w:tr>
        <w:trPr>
          <w:tblHeader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Service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Description on the site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01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Systems &amp; Automation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Inspectable agents, retrieval, document intelligence and computer vision.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Software Platforms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 applications, APIs, databases and integrations engineered for daily operation.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03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Product Experience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Clear UX, interfaces and design systems that make complex technology usable.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04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 &amp; Operations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Secure delivery, monitoring, testing, access control and long-term support.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Delivery process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10"/>
        <w:gridCol w:w="6425"/>
      </w:tblGrid>
      <w:tr>
        <w:trPr>
          <w:tblHeader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happens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01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Discover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Map the workflow, constraints and real decision points.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Design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Shape the product, experience and system architecture.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03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Engineer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Build the platform, intelligence and integrations.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04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 &amp; support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Ship securely, observe performance and keep improving.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Selected systems (products)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224"/>
        <w:gridCol w:w="5190"/>
      </w:tblGrid>
      <w:tr>
        <w:trPr>
          <w:tblHeader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Product</w:t>
            </w:r>
          </w:p>
        </w:tc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Tagline</w:t>
            </w:r>
          </w:p>
        </w:tc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Positioning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DARKAGENT</w:t>
            </w:r>
          </w:p>
        </w:tc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Work, made operational.</w:t>
            </w:r>
          </w:p>
        </w:tc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Governed AI mission control: a bounded multi-agent platform built for human authority, live inspection and reliable execution.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COOLACCESS_DXB</w:t>
            </w:r>
          </w:p>
        </w:tc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Access, made effortless.</w:t>
            </w:r>
          </w:p>
        </w:tc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unified workflow platform for requests, approvals and access visibility across Dubai operations.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Project image frames are intentionally empty until original photography is supplied. "View system" links currently jump to the contact section; there are no product detail pages.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Brand system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Only the approved palette is used.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9"/>
        <w:gridCol w:w="1752"/>
        <w:gridCol w:w="5257"/>
      </w:tblGrid>
      <w:tr>
        <w:trPr>
          <w:tblHeader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Token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Value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Use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Ink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#070A12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Primary dark background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Slate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#121824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Dark surface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#F5F7FA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Light background and text on dark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Muted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#667085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Electric blue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#365BFF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Accent, focus, primary action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Typography: Termina weights 300, 400, 500 from Adobe Fonts project okn5dwf. Assets in public/assets: neuravic-logo.png, neuravic-mark.png, hero-art.png, neuravic-pattern.svg.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Frontend (NFE)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Stack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Next.js 16.4, React 19.3, TypeScript 5.9, Tailwind CSS 4.3, built with vinext 1.2 on Vite 8 and deployed as a Cloudflare Workers bundle. Lucide icons. The site renders without the backend (built-in content), but the portal and enquiries need it.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Source 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Path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app/page.tsx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Home page. Text comes from lib/site-content.ts (API first, built-in fallback).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app/portal/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Portal routes (sign-in, verify link, dashboard) and styles.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components/contact-form.tsx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Contact form: validation, honeypot, optional Turnstile, posts to POST /leads.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components/portal/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Portal screens: projects, requests, approvals, comments, files, members, activity, staff inbox.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components/site-header.tsx, scroll-effects.tsx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Navigation (Portal button links to /portal) and reveal-on-scroll effects.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lib/api.ts, lib/portal.ts, lib/site-content.ts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client, portal types and helpers, content loader.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next.config.ts, public/.well-known/security.txt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Security headers on every page; how to report a vulnerability.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public/assets/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Logo, mark, pattern, hero artwork (hero-art.png master, hero-art.webp served).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How the frontend uses the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On the site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Backend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Start a Project / Start a Conversation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 /leads: validation, spam checks, rate limit, emails to the team and the sender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Services, Work, Process, Team, About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 /content (one request); edited by staff through the admin API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Portal button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Sign-in by emailed link, then projects, requests with approvals, comments, files, activity and members</w:t>
            </w:r>
          </w:p>
        </w:tc>
      </w:tr>
      <w:tr>
        <w:trPr>
          <w:tblHeader w:val="false"/>
        </w:trPr>
        <w:tc>
          <w:tcPr>
            <w:tcW w:type="dxa" w:w="370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Staff only</w:t>
            </w:r>
          </w:p>
        </w:tc>
        <w:tc>
          <w:tcPr>
            <w:tcW w:type="dxa" w:w="59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Organisations, enquiries inbox with notes and CSV export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Quality and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Lint, type check and production build pass; browser tests cover the contact form, a full two-person portal journey and WCAG 2.1 A/AA (axe-core) on the home page and portal.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Small text on dark backgrounds was lifted to meet contrast rules using mixes of the approved palette.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Hero image reduced from 2.8 MB to 362 KB (WebP). All client JavaScript and CSS is about 217 KB gzipped in total; the portal code loads only on /portal.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Security headers (frame blocking, nosniff, referrer and permissions policies, HSTS) are sent on every page and were verified on a production build.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Still open on the frontend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Team names, roles and portraits, and project photography, are still placeholders ("Name / role to be added").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starter's shadcn UI kit (61 files and about a dozen libraries) is not used by the site. It costs nothing at runtime but adds install time; decide whether to keep it for future screens or remove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full script-source Content-Security-Policy is not set yet (see the Security folder).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Backend (NBE)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BUILT  </w:t>
      </w:r>
      <w:r>
        <w:rPr>
          <w:rFonts w:ascii="Calibri" w:cs="Calibri" w:eastAsia="Calibri" w:hAnsi="Calibri"/>
          <w:sz w:val="21"/>
          <w:szCs w:val="21"/>
        </w:rPr>
        <w:t xml:space="preserve">Everything in the first table is implemented and tested. The second table lists what is not.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86"/>
        <w:gridCol w:w="1752"/>
      </w:tblGrid>
      <w:tr>
        <w:trPr>
          <w:tblHeader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Capability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Lead intake with validation, spam checks, rate limit, email and chat alerts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Staff enquiries inbox with status, notes and CSV export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Passwordless sign-in (single-use hashed links), revocable sessions, CSRF defence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Organisations, roles, invitations, tenant isolation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Portal: projects, requests, approvals, comments, file attachments, activity feed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Site content API with admin editing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Admin: staff and user management, audit log, overview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Single sign-on tokens (5 minutes, signed) and public key endpoint for the two products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Reliable email and chat sending with retries; scheduled cleanup and data retention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  <w:tr>
        <w:trPr>
          <w:tblHeader w:val="false"/>
        </w:trPr>
        <w:tc>
          <w:tcPr>
            <w:tcW w:type="dxa" w:w="788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migrations, indexes checked by a test, CI, weekly security check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Not built yet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Why it matters</w:t>
            </w:r>
          </w:p>
        </w:tc>
      </w:tr>
      <w:tr>
        <w:trPr>
          <w:tblHeader w:val="false"/>
        </w:trPr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 factor for staff (passkeys or authenticator app)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stolen mailbox is currently enough to become a staff admin</w:t>
            </w:r>
          </w:p>
        </w:tc>
      </w:tr>
      <w:tr>
        <w:trPr>
          <w:tblHeader w:val="false"/>
        </w:trPr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Virus scanning of uploaded files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Office documents can carry macros</w:t>
            </w:r>
          </w:p>
        </w:tc>
      </w:tr>
      <w:tr>
        <w:trPr>
          <w:tblHeader w:val="false"/>
        </w:trPr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Production deployment, monitoring and alerts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Nothing is live until the Cloudflare setup is done (checklist in Security/)</w:t>
            </w:r>
          </w:p>
        </w:tc>
      </w:tr>
      <w:tr>
        <w:trPr>
          <w:tblHeader w:val="false"/>
        </w:trPr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Machine-readable API description (OpenAPI)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API is documented by hand in Docs/API.md</w:t>
            </w:r>
          </w:p>
        </w:tc>
      </w:tr>
      <w:tr>
        <w:trPr>
          <w:tblHeader w:val="false"/>
        </w:trPr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Data-subject export and deletion endpoints; nightly database export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Privacy and recovery processes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System context (as built):</w:t>
      </w:r>
    </w:p>
    <w:p>
      <w:pPr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ctx" descr="System context for Neuravic as built" title="Contex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cs="Calibri" w:eastAsia="Calibri" w:hAnsi="Calibri"/>
        </w:rPr>
        <w:t xml:space="preserve">6. Roadmap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140"/>
        <w:gridCol w:w="2570"/>
      </w:tblGrid>
      <w:tr>
        <w:trPr>
          <w:tblHeader/>
        </w:trPr>
        <w:tc>
          <w:tcPr>
            <w:tcW w:type="dxa" w:w="192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Phase</w:t>
            </w:r>
          </w:p>
        </w:tc>
        <w:tc>
          <w:tcPr>
            <w:tcW w:type="dxa" w:w="514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Scope</w:t>
            </w:r>
          </w:p>
        </w:tc>
        <w:tc>
          <w:tcPr>
            <w:tcW w:type="dxa" w:w="257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Foundations</w:t>
            </w:r>
          </w:p>
        </w:tc>
        <w:tc>
          <w:tcPr>
            <w:tcW w:type="dxa" w:w="514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skeleton, bindings, CI, first migration, logging</w:t>
            </w:r>
          </w:p>
        </w:tc>
        <w:tc>
          <w:tcPr>
            <w:tcW w:type="dxa" w:w="257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Lead intake</w:t>
            </w:r>
          </w:p>
        </w:tc>
        <w:tc>
          <w:tcPr>
            <w:tcW w:type="dxa" w:w="514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 /leads, emails, inbox, site form</w:t>
            </w:r>
          </w:p>
        </w:tc>
        <w:tc>
          <w:tcPr>
            <w:tcW w:type="dxa" w:w="257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Auth and organisations</w:t>
            </w:r>
          </w:p>
        </w:tc>
        <w:tc>
          <w:tcPr>
            <w:tcW w:type="dxa" w:w="514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Sign-in, sessions, roles, invitations, audit</w:t>
            </w:r>
          </w:p>
        </w:tc>
        <w:tc>
          <w:tcPr>
            <w:tcW w:type="dxa" w:w="257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 (second factor open)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Portal core</w:t>
            </w:r>
          </w:p>
        </w:tc>
        <w:tc>
          <w:tcPr>
            <w:tcW w:type="dxa" w:w="514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Projects, requests, approvals, files</w:t>
            </w:r>
          </w:p>
        </w:tc>
        <w:tc>
          <w:tcPr>
            <w:tcW w:type="dxa" w:w="257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 (virus scanning open)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Admin and content</w:t>
            </w:r>
          </w:p>
        </w:tc>
        <w:tc>
          <w:tcPr>
            <w:tcW w:type="dxa" w:w="514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Console API, exports, content API, retention</w:t>
            </w:r>
          </w:p>
        </w:tc>
        <w:tc>
          <w:tcPr>
            <w:tcW w:type="dxa" w:w="257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Product sign-on</w:t>
            </w:r>
          </w:p>
        </w:tc>
        <w:tc>
          <w:tcPr>
            <w:tcW w:type="dxa" w:w="514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exchange and public key</w:t>
            </w:r>
          </w:p>
        </w:tc>
        <w:tc>
          <w:tcPr>
            <w:tcW w:type="dxa" w:w="257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 (the products must adopt it)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Go live</w:t>
            </w:r>
          </w:p>
        </w:tc>
        <w:tc>
          <w:tcPr>
            <w:tcW w:type="dxa" w:w="514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Cloudflare setup, secrets, domain routing, monitoring</w:t>
            </w:r>
          </w:p>
        </w:tc>
        <w:tc>
          <w:tcPr>
            <w:tcW w:type="dxa" w:w="257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Next steps in order: (1) deploy to Cloudflare following Security/hardening-checklist.md, (2) second factor for staff, (3) virus scanning before real clients upload files, (4) independent penetration test.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Risks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Staff accounts rely on email only until a second factor is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Uploaded files are not scanned.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Cloudflare D1 has size and throughput limits; the data layer is isolated so a move to PostgreSQL stays contained, and a test guards query efficiency.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Major dependency upgrades (zod 4, TypeScript 7) are deferred on purpose and need a planned test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Regulatory or residency requirements (UAE, Egypt) are unconfirmed. This document is engineering guidance, not legal advice.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Decisions still needed from you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4819"/>
        <w:gridCol w:w="4131"/>
      </w:tblGrid>
      <w:tr>
        <w:trPr>
          <w:tblHeader/>
        </w:trPr>
        <w:tc>
          <w:tcPr>
            <w:tcW w:type="dxa" w:w="68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8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41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Current state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D1</w:t>
            </w:r>
          </w:p>
        </w:tc>
        <w:tc>
          <w:tcPr>
            <w:tcW w:type="dxa" w:w="48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Production domain, API routing and the sending email domain</w:t>
            </w:r>
          </w:p>
        </w:tc>
        <w:tc>
          <w:tcPr>
            <w:tcW w:type="dxa" w:w="41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Needed before go-live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D2</w:t>
            </w:r>
          </w:p>
        </w:tc>
        <w:tc>
          <w:tcPr>
            <w:tcW w:type="dxa" w:w="48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residency (UAE, Egypt) and retention windows</w:t>
            </w:r>
          </w:p>
        </w:tc>
        <w:tc>
          <w:tcPr>
            <w:tcW w:type="dxa" w:w="41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Open; confirm with counsel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D3</w:t>
            </w:r>
          </w:p>
        </w:tc>
        <w:tc>
          <w:tcPr>
            <w:tcW w:type="dxa" w:w="48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 DARKAGENT and COOLACCESS_DXB adopt the sign-on tokens?</w:t>
            </w:r>
          </w:p>
        </w:tc>
        <w:tc>
          <w:tcPr>
            <w:tcW w:type="dxa" w:w="41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 ready; products must verify the tokens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D4</w:t>
            </w:r>
          </w:p>
        </w:tc>
        <w:tc>
          <w:tcPr>
            <w:tcW w:type="dxa" w:w="48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 or remove the unused shadcn UI kit in the frontend</w:t>
            </w:r>
          </w:p>
        </w:tc>
        <w:tc>
          <w:tcPr>
            <w:tcW w:type="dxa" w:w="41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Open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D5</w:t>
            </w:r>
          </w:p>
        </w:tc>
        <w:tc>
          <w:tcPr>
            <w:tcW w:type="dxa" w:w="48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Team names, roles, portraits and project images</w:t>
            </w:r>
          </w:p>
        </w:tc>
        <w:tc>
          <w:tcPr>
            <w:tcW w:type="dxa" w:w="41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Placeholders on the site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D6</w:t>
            </w:r>
          </w:p>
        </w:tc>
        <w:tc>
          <w:tcPr>
            <w:tcW w:type="dxa" w:w="48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dedicated security mailbox (security@)</w:t>
            </w:r>
          </w:p>
        </w:tc>
        <w:tc>
          <w:tcPr>
            <w:tcW w:type="dxa" w:w="413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Policy currently points to hello@neuravic.com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7085"/>
        <w:sz w:val="16"/>
        <w:szCs w:val="16"/>
      </w:rPr>
      <w:t xml:space="preserve">Neuravic — Company Profile v2.1 · page </w:t>
    </w:r>
    <w:r>
      <w:rPr>
        <w:rFonts w:ascii="Calibri" w:cs="Calibri" w:eastAsia="Calibri" w:hAnsi="Calibri"/>
        <w:color w:val="6670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365BF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070A1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1a82194eea36ec20ec6788b3b3f8f67cb6d46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2026-10-18T12:25:35.768Z</dcterms:created>
  <dcterms:modified xsi:type="dcterms:W3CDTF">2026-10-18T12:25:35.768Z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