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65BFF"/>
          <w:sz w:val="64"/>
        </w:rPr>
        <w:t>NEURAVIC</w:t>
      </w:r>
    </w:p>
    <w:p>
      <w:r>
        <w:rPr>
          <w:sz w:val="32"/>
        </w:rPr>
        <w:t>Company Profile, Frontend Review and Backend Handoff</w:t>
      </w:r>
    </w:p>
    <w:p>
      <w:r>
        <w:rPr>
          <w:b w:val="0"/>
        </w:rPr>
        <w:t>Prepared from the repository neuravic-co/neuravic (commit 2d9a1c2, "Intial Commit"). Date: 18 October 2026.</w:t>
      </w:r>
    </w:p>
    <w:p>
      <w:r>
        <w:rPr>
          <w:b w:val="0"/>
        </w:rPr>
        <w:t>Companion document: Neuravic_Backend_Architecture.pdf (full technical architecture for the backend).</w:t>
      </w:r>
    </w:p>
    <w:p>
      <w:r>
        <w:rPr>
          <w:b/>
        </w:rPr>
        <w:t>Everything marked FACT comes directly from the code or README. Everything marked PROPOSAL is a recommendation for the backend you are about to build.</w:t>
      </w:r>
    </w:p>
    <w:p>
      <w:pPr>
        <w:pStyle w:val="Heading1"/>
      </w:pPr>
      <w:r>
        <w:t>1. Who Neuravic is  (FACT)</w:t>
      </w:r>
    </w:p>
    <w:p>
      <w:r>
        <w:rPr>
          <w:b w:val="0"/>
        </w:rPr>
        <w:t>Neuravic is a multidisciplinary technology and engineering company operating across Dubai (United Arab Emirates) and Cairo (Egypt). It combines AI, software, product design and operations to build "systems people can actually run". The site positions the company as one accountable team that takes a problem from discovery to production and long-term support.</w:t>
      </w:r>
    </w:p>
    <w:p>
      <w:r>
        <w:rPr>
          <w:b w:val="0"/>
        </w:rPr>
        <w:t>Tagline / hero message: "We turn complex operations into intelligent systems."</w:t>
      </w:r>
    </w:p>
    <w:p>
      <w:r>
        <w:rPr>
          <w:b w:val="0"/>
        </w:rPr>
        <w:t>Browser title: "Neuravic — Intelligent Systems for Complex Operations".</w:t>
      </w:r>
    </w:p>
    <w:p>
      <w:pPr>
        <w:pStyle w:val="Heading2"/>
      </w:pPr>
      <w:r>
        <w:t>Team</w:t>
      </w:r>
    </w:p>
    <w:p>
      <w:r>
        <w:rPr>
          <w:b w:val="0"/>
        </w:rPr>
        <w:t>The site states "Three people. One accountable team." - two in Cairo, one in Dubai. Names and roles are still placeholders ("Name / role to be added") and portrait images are reserved but not supplied. "Distributed by design" is the stated operating model.</w:t>
      </w:r>
    </w:p>
    <w:p>
      <w:pPr>
        <w:pStyle w:val="Heading1"/>
      </w:pPr>
      <w:r>
        <w:t>2. What Neuravic offers  (FACT)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w:t>
            </w:r>
          </w:p>
        </w:tc>
        <w:tc>
          <w:tcPr>
            <w:tcW w:type="dxa" w:w="2880"/>
          </w:tcPr>
          <w:p>
            <w:r/>
            <w:r>
              <w:rPr>
                <w:b/>
                <w:sz w:val="20"/>
              </w:rPr>
              <w:t>Service</w:t>
            </w:r>
          </w:p>
        </w:tc>
        <w:tc>
          <w:tcPr>
            <w:tcW w:type="dxa" w:w="2880"/>
          </w:tcPr>
          <w:p>
            <w:r/>
            <w:r>
              <w:rPr>
                <w:b/>
                <w:sz w:val="20"/>
              </w:rPr>
              <w:t>Description on the site</w:t>
            </w:r>
          </w:p>
        </w:tc>
      </w:tr>
      <w:tr>
        <w:tc>
          <w:tcPr>
            <w:tcW w:type="dxa" w:w="2880"/>
          </w:tcPr>
          <w:p>
            <w:r/>
            <w:r>
              <w:rPr>
                <w:b w:val="0"/>
                <w:sz w:val="20"/>
              </w:rPr>
              <w:t>01</w:t>
            </w:r>
          </w:p>
        </w:tc>
        <w:tc>
          <w:tcPr>
            <w:tcW w:type="dxa" w:w="2880"/>
          </w:tcPr>
          <w:p>
            <w:r/>
            <w:r>
              <w:rPr>
                <w:b w:val="0"/>
                <w:sz w:val="20"/>
              </w:rPr>
              <w:t>AI Systems &amp; Automation</w:t>
            </w:r>
          </w:p>
        </w:tc>
        <w:tc>
          <w:tcPr>
            <w:tcW w:type="dxa" w:w="2880"/>
          </w:tcPr>
          <w:p>
            <w:r/>
            <w:r>
              <w:rPr>
                <w:b w:val="0"/>
                <w:sz w:val="20"/>
              </w:rPr>
              <w:t>Inspectable agents, retrieval, document intelligence and computer vision.</w:t>
            </w:r>
          </w:p>
        </w:tc>
      </w:tr>
      <w:tr>
        <w:tc>
          <w:tcPr>
            <w:tcW w:type="dxa" w:w="2880"/>
          </w:tcPr>
          <w:p>
            <w:r/>
            <w:r>
              <w:rPr>
                <w:b w:val="0"/>
                <w:sz w:val="20"/>
              </w:rPr>
              <w:t>02</w:t>
            </w:r>
          </w:p>
        </w:tc>
        <w:tc>
          <w:tcPr>
            <w:tcW w:type="dxa" w:w="2880"/>
          </w:tcPr>
          <w:p>
            <w:r/>
            <w:r>
              <w:rPr>
                <w:b w:val="0"/>
                <w:sz w:val="20"/>
              </w:rPr>
              <w:t>Software Platforms</w:t>
            </w:r>
          </w:p>
        </w:tc>
        <w:tc>
          <w:tcPr>
            <w:tcW w:type="dxa" w:w="2880"/>
          </w:tcPr>
          <w:p>
            <w:r/>
            <w:r>
              <w:rPr>
                <w:b w:val="0"/>
                <w:sz w:val="20"/>
              </w:rPr>
              <w:t>Web applications, APIs, databases and integrations engineered for daily operation.</w:t>
            </w:r>
          </w:p>
        </w:tc>
      </w:tr>
      <w:tr>
        <w:tc>
          <w:tcPr>
            <w:tcW w:type="dxa" w:w="2880"/>
          </w:tcPr>
          <w:p>
            <w:r/>
            <w:r>
              <w:rPr>
                <w:b w:val="0"/>
                <w:sz w:val="20"/>
              </w:rPr>
              <w:t>03</w:t>
            </w:r>
          </w:p>
        </w:tc>
        <w:tc>
          <w:tcPr>
            <w:tcW w:type="dxa" w:w="2880"/>
          </w:tcPr>
          <w:p>
            <w:r/>
            <w:r>
              <w:rPr>
                <w:b w:val="0"/>
                <w:sz w:val="20"/>
              </w:rPr>
              <w:t>Product Experience</w:t>
            </w:r>
          </w:p>
        </w:tc>
        <w:tc>
          <w:tcPr>
            <w:tcW w:type="dxa" w:w="2880"/>
          </w:tcPr>
          <w:p>
            <w:r/>
            <w:r>
              <w:rPr>
                <w:b w:val="0"/>
                <w:sz w:val="20"/>
              </w:rPr>
              <w:t>Clear UX, interfaces and design systems that make complex technology usable.</w:t>
            </w:r>
          </w:p>
        </w:tc>
      </w:tr>
      <w:tr>
        <w:tc>
          <w:tcPr>
            <w:tcW w:type="dxa" w:w="2880"/>
          </w:tcPr>
          <w:p>
            <w:r/>
            <w:r>
              <w:rPr>
                <w:b w:val="0"/>
                <w:sz w:val="20"/>
              </w:rPr>
              <w:t>04</w:t>
            </w:r>
          </w:p>
        </w:tc>
        <w:tc>
          <w:tcPr>
            <w:tcW w:type="dxa" w:w="2880"/>
          </w:tcPr>
          <w:p>
            <w:r/>
            <w:r>
              <w:rPr>
                <w:b w:val="0"/>
                <w:sz w:val="20"/>
              </w:rPr>
              <w:t>Deployment &amp; Operations</w:t>
            </w:r>
          </w:p>
        </w:tc>
        <w:tc>
          <w:tcPr>
            <w:tcW w:type="dxa" w:w="2880"/>
          </w:tcPr>
          <w:p>
            <w:r/>
            <w:r>
              <w:rPr>
                <w:b w:val="0"/>
                <w:sz w:val="20"/>
              </w:rPr>
              <w:t>Secure delivery, monitoring, testing, access control and long-term support.</w:t>
            </w:r>
          </w:p>
        </w:tc>
      </w:tr>
    </w:tbl>
    <w:p/>
    <w:p>
      <w:pPr>
        <w:pStyle w:val="Heading2"/>
      </w:pPr>
      <w:r>
        <w:t>Delivery process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Step</w:t>
            </w:r>
          </w:p>
        </w:tc>
        <w:tc>
          <w:tcPr>
            <w:tcW w:type="dxa" w:w="2880"/>
          </w:tcPr>
          <w:p>
            <w:r/>
            <w:r>
              <w:rPr>
                <w:b/>
                <w:sz w:val="20"/>
              </w:rPr>
              <w:t>Name</w:t>
            </w:r>
          </w:p>
        </w:tc>
        <w:tc>
          <w:tcPr>
            <w:tcW w:type="dxa" w:w="2880"/>
          </w:tcPr>
          <w:p>
            <w:r/>
            <w:r>
              <w:rPr>
                <w:b/>
                <w:sz w:val="20"/>
              </w:rPr>
              <w:t>What happens</w:t>
            </w:r>
          </w:p>
        </w:tc>
      </w:tr>
      <w:tr>
        <w:tc>
          <w:tcPr>
            <w:tcW w:type="dxa" w:w="2880"/>
          </w:tcPr>
          <w:p>
            <w:r/>
            <w:r>
              <w:rPr>
                <w:b w:val="0"/>
                <w:sz w:val="20"/>
              </w:rPr>
              <w:t>01</w:t>
            </w:r>
          </w:p>
        </w:tc>
        <w:tc>
          <w:tcPr>
            <w:tcW w:type="dxa" w:w="2880"/>
          </w:tcPr>
          <w:p>
            <w:r/>
            <w:r>
              <w:rPr>
                <w:b w:val="0"/>
                <w:sz w:val="20"/>
              </w:rPr>
              <w:t>Discover</w:t>
            </w:r>
          </w:p>
        </w:tc>
        <w:tc>
          <w:tcPr>
            <w:tcW w:type="dxa" w:w="2880"/>
          </w:tcPr>
          <w:p>
            <w:r/>
            <w:r>
              <w:rPr>
                <w:b w:val="0"/>
                <w:sz w:val="20"/>
              </w:rPr>
              <w:t>Map the workflow, constraints and real decision points.</w:t>
            </w:r>
          </w:p>
        </w:tc>
      </w:tr>
      <w:tr>
        <w:tc>
          <w:tcPr>
            <w:tcW w:type="dxa" w:w="2880"/>
          </w:tcPr>
          <w:p>
            <w:r/>
            <w:r>
              <w:rPr>
                <w:b w:val="0"/>
                <w:sz w:val="20"/>
              </w:rPr>
              <w:t>02</w:t>
            </w:r>
          </w:p>
        </w:tc>
        <w:tc>
          <w:tcPr>
            <w:tcW w:type="dxa" w:w="2880"/>
          </w:tcPr>
          <w:p>
            <w:r/>
            <w:r>
              <w:rPr>
                <w:b w:val="0"/>
                <w:sz w:val="20"/>
              </w:rPr>
              <w:t>Design</w:t>
            </w:r>
          </w:p>
        </w:tc>
        <w:tc>
          <w:tcPr>
            <w:tcW w:type="dxa" w:w="2880"/>
          </w:tcPr>
          <w:p>
            <w:r/>
            <w:r>
              <w:rPr>
                <w:b w:val="0"/>
                <w:sz w:val="20"/>
              </w:rPr>
              <w:t>Shape the product, experience and system architecture.</w:t>
            </w:r>
          </w:p>
        </w:tc>
      </w:tr>
      <w:tr>
        <w:tc>
          <w:tcPr>
            <w:tcW w:type="dxa" w:w="2880"/>
          </w:tcPr>
          <w:p>
            <w:r/>
            <w:r>
              <w:rPr>
                <w:b w:val="0"/>
                <w:sz w:val="20"/>
              </w:rPr>
              <w:t>03</w:t>
            </w:r>
          </w:p>
        </w:tc>
        <w:tc>
          <w:tcPr>
            <w:tcW w:type="dxa" w:w="2880"/>
          </w:tcPr>
          <w:p>
            <w:r/>
            <w:r>
              <w:rPr>
                <w:b w:val="0"/>
                <w:sz w:val="20"/>
              </w:rPr>
              <w:t>Engineer</w:t>
            </w:r>
          </w:p>
        </w:tc>
        <w:tc>
          <w:tcPr>
            <w:tcW w:type="dxa" w:w="2880"/>
          </w:tcPr>
          <w:p>
            <w:r/>
            <w:r>
              <w:rPr>
                <w:b w:val="0"/>
                <w:sz w:val="20"/>
              </w:rPr>
              <w:t>Build the platform, intelligence and integrations.</w:t>
            </w:r>
          </w:p>
        </w:tc>
      </w:tr>
      <w:tr>
        <w:tc>
          <w:tcPr>
            <w:tcW w:type="dxa" w:w="2880"/>
          </w:tcPr>
          <w:p>
            <w:r/>
            <w:r>
              <w:rPr>
                <w:b w:val="0"/>
                <w:sz w:val="20"/>
              </w:rPr>
              <w:t>04</w:t>
            </w:r>
          </w:p>
        </w:tc>
        <w:tc>
          <w:tcPr>
            <w:tcW w:type="dxa" w:w="2880"/>
          </w:tcPr>
          <w:p>
            <w:r/>
            <w:r>
              <w:rPr>
                <w:b w:val="0"/>
                <w:sz w:val="20"/>
              </w:rPr>
              <w:t>Deploy &amp; support</w:t>
            </w:r>
          </w:p>
        </w:tc>
        <w:tc>
          <w:tcPr>
            <w:tcW w:type="dxa" w:w="2880"/>
          </w:tcPr>
          <w:p>
            <w:r/>
            <w:r>
              <w:rPr>
                <w:b w:val="0"/>
                <w:sz w:val="20"/>
              </w:rPr>
              <w:t>Ship securely, observe performance and keep improving.</w:t>
            </w:r>
          </w:p>
        </w:tc>
      </w:tr>
    </w:tbl>
    <w:p/>
    <w:p>
      <w:pPr>
        <w:pStyle w:val="Heading1"/>
      </w:pPr>
      <w:r>
        <w:t>3. Selected systems (products)  (FACT)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Product</w:t>
            </w:r>
          </w:p>
        </w:tc>
        <w:tc>
          <w:tcPr>
            <w:tcW w:type="dxa" w:w="2880"/>
          </w:tcPr>
          <w:p>
            <w:r/>
            <w:r>
              <w:rPr>
                <w:b/>
                <w:sz w:val="20"/>
              </w:rPr>
              <w:t>Tagline</w:t>
            </w:r>
          </w:p>
        </w:tc>
        <w:tc>
          <w:tcPr>
            <w:tcW w:type="dxa" w:w="2880"/>
          </w:tcPr>
          <w:p>
            <w:r/>
            <w:r>
              <w:rPr>
                <w:b/>
                <w:sz w:val="20"/>
              </w:rPr>
              <w:t>Positioning</w:t>
            </w:r>
          </w:p>
        </w:tc>
      </w:tr>
      <w:tr>
        <w:tc>
          <w:tcPr>
            <w:tcW w:type="dxa" w:w="2880"/>
          </w:tcPr>
          <w:p>
            <w:r/>
            <w:r>
              <w:rPr>
                <w:b w:val="0"/>
                <w:sz w:val="20"/>
              </w:rPr>
              <w:t>DARKAGENT</w:t>
            </w:r>
          </w:p>
        </w:tc>
        <w:tc>
          <w:tcPr>
            <w:tcW w:type="dxa" w:w="2880"/>
          </w:tcPr>
          <w:p>
            <w:r/>
            <w:r>
              <w:rPr>
                <w:b w:val="0"/>
                <w:sz w:val="20"/>
              </w:rPr>
              <w:t>Work, made operational.</w:t>
            </w:r>
          </w:p>
        </w:tc>
        <w:tc>
          <w:tcPr>
            <w:tcW w:type="dxa" w:w="2880"/>
          </w:tcPr>
          <w:p>
            <w:r/>
            <w:r>
              <w:rPr>
                <w:b w:val="0"/>
                <w:sz w:val="20"/>
              </w:rPr>
              <w:t>Governed AI mission control: a bounded multi-agent platform built for human authority, live inspection and reliable execution.</w:t>
            </w:r>
          </w:p>
        </w:tc>
      </w:tr>
      <w:tr>
        <w:tc>
          <w:tcPr>
            <w:tcW w:type="dxa" w:w="2880"/>
          </w:tcPr>
          <w:p>
            <w:r/>
            <w:r>
              <w:rPr>
                <w:b w:val="0"/>
                <w:sz w:val="20"/>
              </w:rPr>
              <w:t>COOLACCESS_DXB</w:t>
            </w:r>
          </w:p>
        </w:tc>
        <w:tc>
          <w:tcPr>
            <w:tcW w:type="dxa" w:w="2880"/>
          </w:tcPr>
          <w:p>
            <w:r/>
            <w:r>
              <w:rPr>
                <w:b w:val="0"/>
                <w:sz w:val="20"/>
              </w:rPr>
              <w:t>Access, made effortless.</w:t>
            </w:r>
          </w:p>
        </w:tc>
        <w:tc>
          <w:tcPr>
            <w:tcW w:type="dxa" w:w="2880"/>
          </w:tcPr>
          <w:p>
            <w:r/>
            <w:r>
              <w:rPr>
                <w:b w:val="0"/>
                <w:sz w:val="20"/>
              </w:rPr>
              <w:t>Access operations made clear: a unified workflow platform for requests, approvals and access visibility across Dubai operations.</w:t>
            </w:r>
          </w:p>
        </w:tc>
      </w:tr>
    </w:tbl>
    <w:p/>
    <w:p>
      <w:r>
        <w:rPr>
          <w:b w:val="0"/>
        </w:rPr>
        <w:t>Both project image frames are intentionally empty until original project photography is supplied. The "View system" links currently point to the contact section, so there are no product detail pages yet.</w:t>
      </w:r>
    </w:p>
    <w:p>
      <w:pPr>
        <w:pStyle w:val="Heading1"/>
      </w:pPr>
      <w:r>
        <w:t>4. Brand system  (FACT)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Token</w:t>
            </w:r>
          </w:p>
        </w:tc>
        <w:tc>
          <w:tcPr>
            <w:tcW w:type="dxa" w:w="2880"/>
          </w:tcPr>
          <w:p>
            <w:r/>
            <w:r>
              <w:rPr>
                <w:b/>
                <w:sz w:val="20"/>
              </w:rPr>
              <w:t>Value</w:t>
            </w:r>
          </w:p>
        </w:tc>
        <w:tc>
          <w:tcPr>
            <w:tcW w:type="dxa" w:w="2880"/>
          </w:tcPr>
          <w:p>
            <w:r/>
            <w:r>
              <w:rPr>
                <w:b/>
                <w:sz w:val="20"/>
              </w:rPr>
              <w:t>Use</w:t>
            </w:r>
          </w:p>
        </w:tc>
      </w:tr>
      <w:tr>
        <w:tc>
          <w:tcPr>
            <w:tcW w:type="dxa" w:w="2880"/>
          </w:tcPr>
          <w:p>
            <w:r/>
            <w:r>
              <w:rPr>
                <w:b w:val="0"/>
                <w:sz w:val="20"/>
              </w:rPr>
              <w:t>Ink</w:t>
            </w:r>
          </w:p>
        </w:tc>
        <w:tc>
          <w:tcPr>
            <w:tcW w:type="dxa" w:w="2880"/>
          </w:tcPr>
          <w:p>
            <w:r/>
            <w:r>
              <w:rPr>
                <w:b w:val="0"/>
                <w:sz w:val="20"/>
              </w:rPr>
              <w:t>#070A12</w:t>
            </w:r>
          </w:p>
        </w:tc>
        <w:tc>
          <w:tcPr>
            <w:tcW w:type="dxa" w:w="2880"/>
          </w:tcPr>
          <w:p>
            <w:r/>
            <w:r>
              <w:rPr>
                <w:b w:val="0"/>
                <w:sz w:val="20"/>
              </w:rPr>
              <w:t>Primary dark background</w:t>
            </w:r>
          </w:p>
        </w:tc>
      </w:tr>
      <w:tr>
        <w:tc>
          <w:tcPr>
            <w:tcW w:type="dxa" w:w="2880"/>
          </w:tcPr>
          <w:p>
            <w:r/>
            <w:r>
              <w:rPr>
                <w:b w:val="0"/>
                <w:sz w:val="20"/>
              </w:rPr>
              <w:t>Slate</w:t>
            </w:r>
          </w:p>
        </w:tc>
        <w:tc>
          <w:tcPr>
            <w:tcW w:type="dxa" w:w="2880"/>
          </w:tcPr>
          <w:p>
            <w:r/>
            <w:r>
              <w:rPr>
                <w:b w:val="0"/>
                <w:sz w:val="20"/>
              </w:rPr>
              <w:t>#121824</w:t>
            </w:r>
          </w:p>
        </w:tc>
        <w:tc>
          <w:tcPr>
            <w:tcW w:type="dxa" w:w="2880"/>
          </w:tcPr>
          <w:p>
            <w:r/>
            <w:r>
              <w:rPr>
                <w:b w:val="0"/>
                <w:sz w:val="20"/>
              </w:rPr>
              <w:t>Dark surface</w:t>
            </w:r>
          </w:p>
        </w:tc>
      </w:tr>
      <w:tr>
        <w:tc>
          <w:tcPr>
            <w:tcW w:type="dxa" w:w="2880"/>
          </w:tcPr>
          <w:p>
            <w:r/>
            <w:r>
              <w:rPr>
                <w:b w:val="0"/>
                <w:sz w:val="20"/>
              </w:rPr>
              <w:t>Paper</w:t>
            </w:r>
          </w:p>
        </w:tc>
        <w:tc>
          <w:tcPr>
            <w:tcW w:type="dxa" w:w="2880"/>
          </w:tcPr>
          <w:p>
            <w:r/>
            <w:r>
              <w:rPr>
                <w:b w:val="0"/>
                <w:sz w:val="20"/>
              </w:rPr>
              <w:t>#F5F7FA</w:t>
            </w:r>
          </w:p>
        </w:tc>
        <w:tc>
          <w:tcPr>
            <w:tcW w:type="dxa" w:w="2880"/>
          </w:tcPr>
          <w:p>
            <w:r/>
            <w:r>
              <w:rPr>
                <w:b w:val="0"/>
                <w:sz w:val="20"/>
              </w:rPr>
              <w:t>Light background / text on dark</w:t>
            </w:r>
          </w:p>
        </w:tc>
      </w:tr>
      <w:tr>
        <w:tc>
          <w:tcPr>
            <w:tcW w:type="dxa" w:w="2880"/>
          </w:tcPr>
          <w:p>
            <w:r/>
            <w:r>
              <w:rPr>
                <w:b w:val="0"/>
                <w:sz w:val="20"/>
              </w:rPr>
              <w:t>Muted</w:t>
            </w:r>
          </w:p>
        </w:tc>
        <w:tc>
          <w:tcPr>
            <w:tcW w:type="dxa" w:w="2880"/>
          </w:tcPr>
          <w:p>
            <w:r/>
            <w:r>
              <w:rPr>
                <w:b w:val="0"/>
                <w:sz w:val="20"/>
              </w:rPr>
              <w:t>#667085</w:t>
            </w:r>
          </w:p>
        </w:tc>
        <w:tc>
          <w:tcPr>
            <w:tcW w:type="dxa" w:w="2880"/>
          </w:tcPr>
          <w:p>
            <w:r/>
            <w:r>
              <w:rPr>
                <w:b w:val="0"/>
                <w:sz w:val="20"/>
              </w:rPr>
              <w:t>Secondary text</w:t>
            </w:r>
          </w:p>
        </w:tc>
      </w:tr>
      <w:tr>
        <w:tc>
          <w:tcPr>
            <w:tcW w:type="dxa" w:w="2880"/>
          </w:tcPr>
          <w:p>
            <w:r/>
            <w:r>
              <w:rPr>
                <w:b w:val="0"/>
                <w:sz w:val="20"/>
              </w:rPr>
              <w:t>Electric blue</w:t>
            </w:r>
          </w:p>
        </w:tc>
        <w:tc>
          <w:tcPr>
            <w:tcW w:type="dxa" w:w="2880"/>
          </w:tcPr>
          <w:p>
            <w:r/>
            <w:r>
              <w:rPr>
                <w:b w:val="0"/>
                <w:sz w:val="20"/>
              </w:rPr>
              <w:t>#365BFF</w:t>
            </w:r>
          </w:p>
        </w:tc>
        <w:tc>
          <w:tcPr>
            <w:tcW w:type="dxa" w:w="2880"/>
          </w:tcPr>
          <w:p>
            <w:r/>
            <w:r>
              <w:rPr>
                <w:b w:val="0"/>
                <w:sz w:val="20"/>
              </w:rPr>
              <w:t>Accent, focus, primary action</w:t>
            </w:r>
          </w:p>
        </w:tc>
      </w:tr>
    </w:tbl>
    <w:p/>
    <w:p>
      <w:r>
        <w:rPr>
          <w:b w:val="0"/>
        </w:rPr>
        <w:t>Typography: Termina (weights 300, 400, 500) via Adobe Fonts web project okn5dwf. Tone: dark, minimal, editorial. Assets: neuravic-logo.png, neuravic-mark.png, hero-art.png, neuravic-pattern.svg.</w:t>
      </w:r>
    </w:p>
    <w:p>
      <w:pPr>
        <w:pStyle w:val="Heading1"/>
      </w:pPr>
      <w:r>
        <w:t>5. Frontend review  (FACT)</w:t>
      </w:r>
    </w:p>
    <w:p>
      <w:pPr>
        <w:pStyle w:val="Heading2"/>
      </w:pPr>
      <w:r>
        <w:t>Stack</w:t>
      </w:r>
    </w:p>
    <w:p>
      <w:pPr>
        <w:pStyle w:val="ListBullet"/>
      </w:pPr>
      <w:r>
        <w:t>Next.js 16.2 + React 19.2, TypeScript 5.9, Tailwind CSS 4.2, Lucide icons.</w:t>
      </w:r>
    </w:p>
    <w:p>
      <w:pPr>
        <w:pStyle w:val="ListBullet"/>
      </w:pPr>
      <w:r>
        <w:t>Built with vinext (Next.js API on Vite 8) and deployed as a Cloudflare Workers bundle (wrangler 4.92, @cloudflare/vite-plugin).</w:t>
      </w:r>
    </w:p>
    <w:p>
      <w:pPr>
        <w:pStyle w:val="ListBullet"/>
      </w:pPr>
      <w:r>
        <w:t>Hosting metadata in .openai/hosting.json: d1 = null, r2 = null (no database or bucket is bound yet). Live URL listed in the README is on a chatgpt.site host.</w:t>
      </w:r>
    </w:p>
    <w:p>
      <w:pPr>
        <w:pStyle w:val="ListBullet"/>
      </w:pPr>
      <w:r>
        <w:t>Backend-ready libraries are already installed but unused: drizzle-orm 0.45 + drizzle-kit (SQLite dialect), zod 3, react-hook-form + @hookform/resolvers.</w:t>
      </w:r>
    </w:p>
    <w:p>
      <w:pPr>
        <w:pStyle w:val="ListBullet"/>
      </w:pPr>
      <w:r>
        <w:t>A full shadcn/ui component set (about 60 components: forms, dialogs, tables, charts, sidebar, etc.) is present in components/ui and is the obvious base for a portal UI.</w:t>
      </w:r>
    </w:p>
    <w:p>
      <w:pPr>
        <w:pStyle w:val="Heading2"/>
      </w:pPr>
      <w:r>
        <w:t>Structure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Path</w:t>
            </w:r>
          </w:p>
        </w:tc>
        <w:tc>
          <w:tcPr>
            <w:tcW w:type="dxa" w:w="4320"/>
          </w:tcPr>
          <w:p>
            <w:r/>
            <w:r>
              <w:rPr>
                <w:b/>
                <w:sz w:val="20"/>
              </w:rPr>
              <w:t>Role</w:t>
            </w:r>
          </w:p>
        </w:tc>
      </w:tr>
      <w:tr>
        <w:tc>
          <w:tcPr>
            <w:tcW w:type="dxa" w:w="4320"/>
          </w:tcPr>
          <w:p>
            <w:r/>
            <w:r>
              <w:rPr>
                <w:b w:val="0"/>
                <w:sz w:val="20"/>
              </w:rPr>
              <w:t>app/page.tsx</w:t>
            </w:r>
          </w:p>
        </w:tc>
        <w:tc>
          <w:tcPr>
            <w:tcW w:type="dxa" w:w="4320"/>
          </w:tcPr>
          <w:p>
            <w:r/>
            <w:r>
              <w:rPr>
                <w:b w:val="0"/>
                <w:sz w:val="20"/>
              </w:rPr>
              <w:t>The whole marketing page: hero, services, work intro, 2 projects, process, about, team, contact + footer (single server component).</w:t>
            </w:r>
          </w:p>
        </w:tc>
      </w:tr>
      <w:tr>
        <w:tc>
          <w:tcPr>
            <w:tcW w:type="dxa" w:w="4320"/>
          </w:tcPr>
          <w:p>
            <w:r/>
            <w:r>
              <w:rPr>
                <w:b w:val="0"/>
                <w:sz w:val="20"/>
              </w:rPr>
              <w:t>app/layout.tsx</w:t>
            </w:r>
          </w:p>
        </w:tc>
        <w:tc>
          <w:tcPr>
            <w:tcW w:type="dxa" w:w="4320"/>
          </w:tcPr>
          <w:p>
            <w:r/>
            <w:r>
              <w:rPr>
                <w:b w:val="0"/>
                <w:sz w:val="20"/>
              </w:rPr>
              <w:t>Metadata, fonts, viewport (dark colour scheme).</w:t>
            </w:r>
          </w:p>
        </w:tc>
      </w:tr>
      <w:tr>
        <w:tc>
          <w:tcPr>
            <w:tcW w:type="dxa" w:w="4320"/>
          </w:tcPr>
          <w:p>
            <w:r/>
            <w:r>
              <w:rPr>
                <w:b w:val="0"/>
                <w:sz w:val="20"/>
              </w:rPr>
              <w:t>app/globals.css</w:t>
            </w:r>
          </w:p>
        </w:tc>
        <w:tc>
          <w:tcPr>
            <w:tcW w:type="dxa" w:w="4320"/>
          </w:tcPr>
          <w:p>
            <w:r/>
            <w:r>
              <w:rPr>
                <w:b w:val="0"/>
                <w:sz w:val="20"/>
              </w:rPr>
              <w:t>All brand styling and layout.</w:t>
            </w:r>
          </w:p>
        </w:tc>
      </w:tr>
      <w:tr>
        <w:tc>
          <w:tcPr>
            <w:tcW w:type="dxa" w:w="4320"/>
          </w:tcPr>
          <w:p>
            <w:r/>
            <w:r>
              <w:rPr>
                <w:b w:val="0"/>
                <w:sz w:val="20"/>
              </w:rPr>
              <w:t>components/site-header.tsx</w:t>
            </w:r>
          </w:p>
        </w:tc>
        <w:tc>
          <w:tcPr>
            <w:tcW w:type="dxa" w:w="4320"/>
          </w:tcPr>
          <w:p>
            <w:r/>
            <w:r>
              <w:rPr>
                <w:b w:val="0"/>
                <w:sz w:val="20"/>
              </w:rPr>
              <w:t>Client component: sticky nav, section tracking, mobile menu, Portal button.</w:t>
            </w:r>
          </w:p>
        </w:tc>
      </w:tr>
      <w:tr>
        <w:tc>
          <w:tcPr>
            <w:tcW w:type="dxa" w:w="4320"/>
          </w:tcPr>
          <w:p>
            <w:r/>
            <w:r>
              <w:rPr>
                <w:b w:val="0"/>
                <w:sz w:val="20"/>
              </w:rPr>
              <w:t>components/site-effects.tsx</w:t>
            </w:r>
          </w:p>
        </w:tc>
        <w:tc>
          <w:tcPr>
            <w:tcW w:type="dxa" w:w="4320"/>
          </w:tcPr>
          <w:p>
            <w:r/>
            <w:r>
              <w:rPr>
                <w:b w:val="0"/>
                <w:sz w:val="20"/>
              </w:rPr>
              <w:t>Client component: reveal-on-scroll and hero parallax.</w:t>
            </w:r>
          </w:p>
        </w:tc>
      </w:tr>
      <w:tr>
        <w:tc>
          <w:tcPr>
            <w:tcW w:type="dxa" w:w="4320"/>
          </w:tcPr>
          <w:p>
            <w:r/>
            <w:r>
              <w:rPr>
                <w:b w:val="0"/>
                <w:sz w:val="20"/>
              </w:rPr>
              <w:t>app/chatgpt-auth.ts</w:t>
            </w:r>
          </w:p>
        </w:tc>
        <w:tc>
          <w:tcPr>
            <w:tcW w:type="dxa" w:w="4320"/>
          </w:tcPr>
          <w:p>
            <w:r/>
            <w:r>
              <w:rPr>
                <w:b w:val="0"/>
                <w:sz w:val="20"/>
              </w:rPr>
              <w:t>Helpers reading oai-authenticated-user-* headers (platform sign-in). Defined but not used by any page.</w:t>
            </w:r>
          </w:p>
        </w:tc>
      </w:tr>
      <w:tr>
        <w:tc>
          <w:tcPr>
            <w:tcW w:type="dxa" w:w="4320"/>
          </w:tcPr>
          <w:p>
            <w:r/>
            <w:r>
              <w:rPr>
                <w:b w:val="0"/>
                <w:sz w:val="20"/>
              </w:rPr>
              <w:t>db/index.ts, db/schema.ts</w:t>
            </w:r>
          </w:p>
        </w:tc>
        <w:tc>
          <w:tcPr>
            <w:tcW w:type="dxa" w:w="4320"/>
          </w:tcPr>
          <w:p>
            <w:r/>
            <w:r>
              <w:rPr>
                <w:b w:val="0"/>
                <w:sz w:val="20"/>
              </w:rPr>
              <w:t>getDb() returns Drizzle on Cloudflare D1 binding DB; schema is empty.</w:t>
            </w:r>
          </w:p>
        </w:tc>
      </w:tr>
      <w:tr>
        <w:tc>
          <w:tcPr>
            <w:tcW w:type="dxa" w:w="4320"/>
          </w:tcPr>
          <w:p>
            <w:r/>
            <w:r>
              <w:rPr>
                <w:b w:val="0"/>
                <w:sz w:val="20"/>
              </w:rPr>
              <w:t>examples/d1/</w:t>
            </w:r>
          </w:p>
        </w:tc>
        <w:tc>
          <w:tcPr>
            <w:tcW w:type="dxa" w:w="4320"/>
          </w:tcPr>
          <w:p>
            <w:r/>
            <w:r>
              <w:rPr>
                <w:b w:val="0"/>
                <w:sz w:val="20"/>
              </w:rPr>
              <w:t>Opt-in example: a notes table and GET/POST /api/notes route handler. Shows the intended API pattern.</w:t>
            </w:r>
          </w:p>
        </w:tc>
      </w:tr>
    </w:tbl>
    <w:p/>
    <w:p>
      <w:pPr>
        <w:pStyle w:val="Heading2"/>
      </w:pPr>
      <w:r>
        <w:t>Backend-relevant gaps found in the frontend</w:t>
      </w:r>
    </w:p>
    <w:p>
      <w:pPr>
        <w:pStyle w:val="ListBullet"/>
      </w:pPr>
      <w:r>
        <w:t>Contact is a mailto: link (hello@neuravic.com). There is no form, no lead capture, no spam protection and no record of enquiries.</w:t>
      </w:r>
    </w:p>
    <w:p>
      <w:pPr>
        <w:pStyle w:val="ListBullet"/>
      </w:pPr>
      <w:r>
        <w:t>"Portal" in the header (desktop and mobile) only shows a toast: "Ready to connect when you provide the final URL." There is no portal, login, or session logic yet.</w:t>
      </w:r>
    </w:p>
    <w:p>
      <w:pPr>
        <w:pStyle w:val="ListBullet"/>
      </w:pPr>
      <w:r>
        <w:t>All content (services, projects, process, team) is hard-coded in app/page.tsx. That is fine for now; a content API is optional.</w:t>
      </w:r>
    </w:p>
    <w:p>
      <w:pPr>
        <w:pStyle w:val="ListBullet"/>
      </w:pPr>
      <w:r>
        <w:t>No API routes exist apart from the unused example. No tests are configured; lint is the only check.</w:t>
      </w:r>
    </w:p>
    <w:p>
      <w:pPr>
        <w:pStyle w:val="ListBullet"/>
      </w:pPr>
      <w:r>
        <w:t>"Start a Project" and "View system" links all jump to #contact, so a single intake endpoint covers every call to action.</w:t>
      </w:r>
    </w:p>
    <w:p>
      <w:pPr>
        <w:pStyle w:val="ListBullet"/>
      </w:pPr>
      <w:r>
        <w:t>Auth helpers target the hosting platform's header-based sign-in, which will not exist if you host the backend yourself. Treat it as a platform detail, not a product decision.</w:t>
      </w:r>
    </w:p>
    <w:p>
      <w:pPr>
        <w:pStyle w:val="Heading1"/>
      </w:pPr>
      <w:r>
        <w:t>6. What the backend needs to do  (PROPOSAL)</w:t>
      </w:r>
    </w:p>
    <w:p>
      <w:r>
        <w:rPr>
          <w:b w:val="0"/>
        </w:rPr>
        <w:t>Derived strictly from the gaps above. Detailed design is in the PDF.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Priority</w:t>
            </w:r>
          </w:p>
        </w:tc>
        <w:tc>
          <w:tcPr>
            <w:tcW w:type="dxa" w:w="2880"/>
          </w:tcPr>
          <w:p>
            <w:r/>
            <w:r>
              <w:rPr>
                <w:b/>
                <w:sz w:val="20"/>
              </w:rPr>
              <w:t>Capability</w:t>
            </w:r>
          </w:p>
        </w:tc>
        <w:tc>
          <w:tcPr>
            <w:tcW w:type="dxa" w:w="2880"/>
          </w:tcPr>
          <w:p>
            <w:r/>
            <w:r>
              <w:rPr>
                <w:b/>
                <w:sz w:val="20"/>
              </w:rPr>
              <w:t>Why</w:t>
            </w:r>
          </w:p>
        </w:tc>
      </w:tr>
      <w:tr>
        <w:tc>
          <w:tcPr>
            <w:tcW w:type="dxa" w:w="2880"/>
          </w:tcPr>
          <w:p>
            <w:r/>
            <w:r>
              <w:rPr>
                <w:b w:val="0"/>
                <w:sz w:val="20"/>
              </w:rPr>
              <w:t>P0</w:t>
            </w:r>
          </w:p>
        </w:tc>
        <w:tc>
          <w:tcPr>
            <w:tcW w:type="dxa" w:w="2880"/>
          </w:tcPr>
          <w:p>
            <w:r/>
            <w:r>
              <w:rPr>
                <w:b w:val="0"/>
                <w:sz w:val="20"/>
              </w:rPr>
              <w:t>Lead / project intake API (POST /api/v1/leads) with validation, bot protection, email notification and storage</w:t>
            </w:r>
          </w:p>
        </w:tc>
        <w:tc>
          <w:tcPr>
            <w:tcW w:type="dxa" w:w="2880"/>
          </w:tcPr>
          <w:p>
            <w:r/>
            <w:r>
              <w:rPr>
                <w:b w:val="0"/>
                <w:sz w:val="20"/>
              </w:rPr>
              <w:t>Replaces the mailto link; every CTA on the site funnels here</w:t>
            </w:r>
          </w:p>
        </w:tc>
      </w:tr>
      <w:tr>
        <w:tc>
          <w:tcPr>
            <w:tcW w:type="dxa" w:w="2880"/>
          </w:tcPr>
          <w:p>
            <w:r/>
            <w:r>
              <w:rPr>
                <w:b w:val="0"/>
                <w:sz w:val="20"/>
              </w:rPr>
              <w:t>P0</w:t>
            </w:r>
          </w:p>
        </w:tc>
        <w:tc>
          <w:tcPr>
            <w:tcW w:type="dxa" w:w="2880"/>
          </w:tcPr>
          <w:p>
            <w:r/>
            <w:r>
              <w:rPr>
                <w:b w:val="0"/>
                <w:sz w:val="20"/>
              </w:rPr>
              <w:t>Environment, CI, observability, secrets and migrations</w:t>
            </w:r>
          </w:p>
        </w:tc>
        <w:tc>
          <w:tcPr>
            <w:tcW w:type="dxa" w:w="2880"/>
          </w:tcPr>
          <w:p>
            <w:r/>
            <w:r>
              <w:rPr>
                <w:b w:val="0"/>
                <w:sz w:val="20"/>
              </w:rPr>
              <w:t>Nothing exists yet beyond a build script</w:t>
            </w:r>
          </w:p>
        </w:tc>
      </w:tr>
      <w:tr>
        <w:tc>
          <w:tcPr>
            <w:tcW w:type="dxa" w:w="2880"/>
          </w:tcPr>
          <w:p>
            <w:r/>
            <w:r>
              <w:rPr>
                <w:b w:val="0"/>
                <w:sz w:val="20"/>
              </w:rPr>
              <w:t>P1</w:t>
            </w:r>
          </w:p>
        </w:tc>
        <w:tc>
          <w:tcPr>
            <w:tcW w:type="dxa" w:w="2880"/>
          </w:tcPr>
          <w:p>
            <w:r/>
            <w:r>
              <w:rPr>
                <w:b w:val="0"/>
                <w:sz w:val="20"/>
              </w:rPr>
              <w:t>Authentication, organisations and roles for the Portal</w:t>
            </w:r>
          </w:p>
        </w:tc>
        <w:tc>
          <w:tcPr>
            <w:tcW w:type="dxa" w:w="2880"/>
          </w:tcPr>
          <w:p>
            <w:r/>
            <w:r>
              <w:rPr>
                <w:b w:val="0"/>
                <w:sz w:val="20"/>
              </w:rPr>
              <w:t>The header already promises a Portal</w:t>
            </w:r>
          </w:p>
        </w:tc>
      </w:tr>
      <w:tr>
        <w:tc>
          <w:tcPr>
            <w:tcW w:type="dxa" w:w="2880"/>
          </w:tcPr>
          <w:p>
            <w:r/>
            <w:r>
              <w:rPr>
                <w:b w:val="0"/>
                <w:sz w:val="20"/>
              </w:rPr>
              <w:t>P1</w:t>
            </w:r>
          </w:p>
        </w:tc>
        <w:tc>
          <w:tcPr>
            <w:tcW w:type="dxa" w:w="2880"/>
          </w:tcPr>
          <w:p>
            <w:r/>
            <w:r>
              <w:rPr>
                <w:b w:val="0"/>
                <w:sz w:val="20"/>
              </w:rPr>
              <w:t>Portal core: projects, service requests, approvals, file exchange</w:t>
            </w:r>
          </w:p>
        </w:tc>
        <w:tc>
          <w:tcPr>
            <w:tcW w:type="dxa" w:w="2880"/>
          </w:tcPr>
          <w:p>
            <w:r/>
            <w:r>
              <w:rPr>
                <w:b w:val="0"/>
                <w:sz w:val="20"/>
              </w:rPr>
              <w:t>Matches Neuravic's operations / access-workflow positioning</w:t>
            </w:r>
          </w:p>
        </w:tc>
      </w:tr>
      <w:tr>
        <w:tc>
          <w:tcPr>
            <w:tcW w:type="dxa" w:w="2880"/>
          </w:tcPr>
          <w:p>
            <w:r/>
            <w:r>
              <w:rPr>
                <w:b w:val="0"/>
                <w:sz w:val="20"/>
              </w:rPr>
              <w:t>P2</w:t>
            </w:r>
          </w:p>
        </w:tc>
        <w:tc>
          <w:tcPr>
            <w:tcW w:type="dxa" w:w="2880"/>
          </w:tcPr>
          <w:p>
            <w:r/>
            <w:r>
              <w:rPr>
                <w:b w:val="0"/>
                <w:sz w:val="20"/>
              </w:rPr>
              <w:t>Admin console for leads and content; audit log; exports</w:t>
            </w:r>
          </w:p>
        </w:tc>
        <w:tc>
          <w:tcPr>
            <w:tcW w:type="dxa" w:w="2880"/>
          </w:tcPr>
          <w:p>
            <w:r/>
            <w:r>
              <w:rPr>
                <w:b w:val="0"/>
                <w:sz w:val="20"/>
              </w:rPr>
              <w:t>Run the business day to day</w:t>
            </w:r>
          </w:p>
        </w:tc>
      </w:tr>
      <w:tr>
        <w:tc>
          <w:tcPr>
            <w:tcW w:type="dxa" w:w="2880"/>
          </w:tcPr>
          <w:p>
            <w:r/>
            <w:r>
              <w:rPr>
                <w:b w:val="0"/>
                <w:sz w:val="20"/>
              </w:rPr>
              <w:t>P3</w:t>
            </w:r>
          </w:p>
        </w:tc>
        <w:tc>
          <w:tcPr>
            <w:tcW w:type="dxa" w:w="2880"/>
          </w:tcPr>
          <w:p>
            <w:r/>
            <w:r>
              <w:rPr>
                <w:b w:val="0"/>
                <w:sz w:val="20"/>
              </w:rPr>
              <w:t>SSO and API bridge to DARKAGENT and COOLACCESS_DXB</w:t>
            </w:r>
          </w:p>
        </w:tc>
        <w:tc>
          <w:tcPr>
            <w:tcW w:type="dxa" w:w="2880"/>
          </w:tcPr>
          <w:p>
            <w:r/>
            <w:r>
              <w:rPr>
                <w:b w:val="0"/>
                <w:sz w:val="20"/>
              </w:rPr>
              <w:t>Products stay separate systems with their own data</w:t>
            </w:r>
          </w:p>
        </w:tc>
      </w:tr>
    </w:tbl>
    <w:p/>
    <w:p>
      <w:pPr>
        <w:pStyle w:val="Heading1"/>
      </w:pPr>
      <w:r>
        <w:t>7. Recommended backend direction  (PROPOSAL)</w:t>
      </w:r>
    </w:p>
    <w:p>
      <w:pPr>
        <w:pStyle w:val="ListBullet"/>
      </w:pPr>
      <w:r>
        <w:t>Stay Cloudflare-native: the frontend already compiles to a Worker and ships a D1 binding helper, so a Hono API on Workers + D1 + R2 + KV + Queues needs no new hosting vendor and no cross-network latency.</w:t>
      </w:r>
    </w:p>
    <w:p>
      <w:pPr>
        <w:pStyle w:val="ListBullet"/>
      </w:pPr>
      <w:r>
        <w:t>Modular monolith, not microservices: three people, one deployable, clean module boundaries (leads, auth, portal, content, admin, notifications) that can be split later.</w:t>
      </w:r>
    </w:p>
    <w:p>
      <w:pPr>
        <w:pStyle w:val="ListBullet"/>
      </w:pPr>
      <w:r>
        <w:t>Contract-first: publish an OpenAPI spec and a shared zod schema package so the frontend forms and the API validate with the same definitions.</w:t>
      </w:r>
    </w:p>
    <w:p>
      <w:pPr>
        <w:pStyle w:val="ListBullet"/>
      </w:pPr>
      <w:r>
        <w:t>Own your auth: do not depend on the chatgpt.site sign-in headers for the production Portal.</w:t>
      </w:r>
    </w:p>
    <w:p>
      <w:pPr>
        <w:pStyle w:val="ListBullet"/>
      </w:pPr>
      <w:r>
        <w:t>Alternative if you prefer a conventional stack (Node/NestJS or FastAPI + PostgreSQL on a managed cloud): everything in the PDF still applies; only section 11 (deployment) and the storage mapping change. This is the first decision to confirm.</w:t>
      </w:r>
    </w:p>
    <w:p>
      <w:pPr>
        <w:pStyle w:val="Heading1"/>
      </w:pPr>
      <w:r>
        <w:t>8. Open questions for you</w:t>
      </w:r>
    </w:p>
    <w:p>
      <w:pPr>
        <w:pStyle w:val="ListBullet"/>
      </w:pPr>
      <w:r>
        <w:t>Who is the Portal for: external clients, internal staff, or both? This decides the auth model and roles.</w:t>
      </w:r>
    </w:p>
    <w:p>
      <w:pPr>
        <w:pStyle w:val="ListBullet"/>
      </w:pPr>
      <w:r>
        <w:t>Do DARKAGENT and COOLACCESS_DXB log in through the Portal (SSO) or stay entirely separate?</w:t>
      </w:r>
    </w:p>
    <w:p>
      <w:pPr>
        <w:pStyle w:val="ListBullet"/>
      </w:pPr>
      <w:r>
        <w:t>Backend language and platform: Cloudflare Workers + TypeScript (recommended) or another stack?</w:t>
      </w:r>
    </w:p>
    <w:p>
      <w:pPr>
        <w:pStyle w:val="ListBullet"/>
      </w:pPr>
      <w:r>
        <w:t>Data residency: any UAE or Egypt requirement for client data? It affects region choice and PDPL / Egypt PDPL obligations.</w:t>
      </w:r>
    </w:p>
    <w:p>
      <w:pPr>
        <w:pStyle w:val="ListBullet"/>
      </w:pPr>
      <w:r>
        <w:t>Final Portal URL, production domain and the sending email domain (neuravic.com is used in the mailto).</w:t>
      </w:r>
    </w:p>
    <w:p>
      <w:r>
        <w:rPr>
          <w:b w:val="0"/>
        </w:rPr>
        <w:t>Note: statements about legal obligations are general engineering guidance, not legal advice.</w:t>
      </w:r>
    </w:p>
    <w:p>
      <w:r>
        <w:drawing>
          <wp:inline xmlns:a="http://schemas.openxmlformats.org/drawingml/2006/main" xmlns:pic="http://schemas.openxmlformats.org/drawingml/2006/picture">
            <wp:extent cx="5852160" cy="4064000"/>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852160" cy="4064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B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65B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