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400"/>
      </w:pPr>
      <w:r>
        <w:rPr>
          <w:rFonts w:ascii="Calibri" w:cs="Calibri" w:eastAsia="Calibri" w:hAnsi="Calibri"/>
          <w:b/>
          <w:bCs/>
          <w:color w:val="365BFF"/>
          <w:sz w:val="72"/>
          <w:szCs w:val="72"/>
        </w:rPr>
        <w:t xml:space="preserve">NEURAVIC</w:t>
      </w:r>
    </w:p>
    <w:p>
      <w:pPr>
        <w:spacing w:after="200"/>
      </w:pPr>
      <w:r>
        <w:rPr>
          <w:rFonts w:ascii="Calibri" w:cs="Calibri" w:eastAsia="Calibri" w:hAnsi="Calibri"/>
          <w:sz w:val="36"/>
          <w:szCs w:val="36"/>
        </w:rPr>
        <w:t xml:space="preserve">Company Profile and Frontend Review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Prepared for the backend build. Source: repository neuravic-co/neuravic, commit 2d9a1c2. Date: 18 October 2026. Version 2.0.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read this document. </w:t>
      </w:r>
      <w:r>
        <w:rPr>
          <w:rFonts w:ascii="Calibri" w:cs="Calibri" w:eastAsia="Calibri" w:hAnsi="Calibri"/>
          <w:sz w:val="21"/>
          <w:szCs w:val="21"/>
        </w:rPr>
        <w:t xml:space="preserve">Items tagged </w:t>
      </w: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come straight from the code or README. Items tagged </w:t>
      </w: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PROPOSAL  </w:t>
      </w:r>
      <w:r>
        <w:rPr>
          <w:rFonts w:ascii="Calibri" w:cs="Calibri" w:eastAsia="Calibri" w:hAnsi="Calibri"/>
          <w:sz w:val="21"/>
          <w:szCs w:val="21"/>
        </w:rPr>
        <w:t xml:space="preserve">are recommendations. The companion PDF, Neuravic_Backend_Architecture.pdf, holds the full technical design and ADRs.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Summary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Company: </w:t>
      </w:r>
      <w:r>
        <w:rPr>
          <w:rFonts w:ascii="Calibri" w:cs="Calibri" w:eastAsia="Calibri" w:hAnsi="Calibri"/>
          <w:sz w:val="21"/>
          <w:szCs w:val="21"/>
        </w:rPr>
        <w:t xml:space="preserve">Neuravic is a multidisciplinary engineering company in Dubai and Cairo that builds AI systems, software platforms, product experience and operations as one accountable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a finished single-page marketing site (Next.js 16, React 19, Cloudflare Workers). It has no backend, database, forms or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Two gaps the backend must close: </w:t>
      </w:r>
      <w:r>
        <w:rPr>
          <w:rFonts w:ascii="Calibri" w:cs="Calibri" w:eastAsia="Calibri" w:hAnsi="Calibri"/>
          <w:sz w:val="21"/>
          <w:szCs w:val="21"/>
        </w:rPr>
        <w:t xml:space="preserve">contact is only a mailto link, and the header Portal button is a placeholder toast.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Recommended first deliverable: </w:t>
      </w:r>
      <w:r>
        <w:rPr>
          <w:rFonts w:ascii="Calibri" w:cs="Calibri" w:eastAsia="Calibri" w:hAnsi="Calibri"/>
          <w:sz w:val="21"/>
          <w:szCs w:val="21"/>
        </w:rPr>
        <w:t xml:space="preserve">a lead-intake API, because every call-to-action on the site leads to the contact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Needs your decision: </w:t>
      </w:r>
      <w:r>
        <w:rPr>
          <w:rFonts w:ascii="Calibri" w:cs="Calibri" w:eastAsia="Calibri" w:hAnsi="Calibri"/>
          <w:sz w:val="21"/>
          <w:szCs w:val="21"/>
        </w:rPr>
        <w:t xml:space="preserve">Portal audience, backend platform, product SSO depth, data residency (section 8).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Who Neuravic 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Neuravic combines AI, software, product design and operations to build "systems people can actually run." Hero message: "We turn complex operations into intelligent systems." Browser title: "Neuravic — Intelligent Systems for Complex Operations".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Locations and team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Offices in Dubai (United Arab Emirates) and Cairo (Egypt). The site says "Three people. One accountable team.": two in Cairo, one in Dubai, "distributed by design." Names, roles and portraits are placeholders ("Name / role to be added").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Services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10"/>
        <w:gridCol w:w="6425"/>
      </w:tblGrid>
      <w:tr>
        <w:trPr>
          <w:tblHeader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Service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Description on the site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01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Systems &amp; Automation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Inspectable agents, retrieval, document intelligence and computer vision.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Software Platforms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 applications, APIs, databases and integrations engineered for daily operation.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03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 Experience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Clear UX, interfaces and design systems that make complex technology usable.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04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Deployment &amp; Operations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Secure delivery, monitoring, testing, access control and long-term support.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Delivery process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10"/>
        <w:gridCol w:w="6425"/>
      </w:tblGrid>
      <w:tr>
        <w:trPr>
          <w:tblHeader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Step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Name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What happens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01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Discover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Map the workflow, constraints and real decision points.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Design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Shape the product, experience and system architecture.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03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Engineer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the platform, intelligence and integrations.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04</w:t>
            </w:r>
          </w:p>
        </w:tc>
        <w:tc>
          <w:tcPr>
            <w:tcW w:type="dxa" w:w="241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Deploy &amp; support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Ship securely, observe performance and keep improving.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Selected systems (products)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224"/>
        <w:gridCol w:w="5190"/>
      </w:tblGrid>
      <w:tr>
        <w:trPr>
          <w:tblHeader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Product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Tagline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Positioning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DARKAGENT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Work, made operational.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Governed AI mission control: a bounded multi-agent platform built for human authority, live inspection and reliable execution.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COOLACCESS_DXB</w:t>
            </w:r>
          </w:p>
        </w:tc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Access, made effortless.</w:t>
            </w:r>
          </w:p>
        </w:tc>
        <w:tc>
          <w:tcPr>
            <w:tcW w:type="dxa" w:w="5190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unified workflow platform for requests, approvals and access visibility across Dubai operations.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Project image frames are intentionally empty until original photography is supplied. "View system" links currently jump to the contact section; there are no product detail pages.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Brand system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FACT  </w:t>
      </w:r>
      <w:r>
        <w:rPr>
          <w:rFonts w:ascii="Calibri" w:cs="Calibri" w:eastAsia="Calibri" w:hAnsi="Calibri"/>
          <w:sz w:val="21"/>
          <w:szCs w:val="21"/>
        </w:rPr>
        <w:t xml:space="preserve">Only the approved palette is used.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9"/>
        <w:gridCol w:w="1752"/>
        <w:gridCol w:w="5257"/>
      </w:tblGrid>
      <w:tr>
        <w:trPr>
          <w:tblHeader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Token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Value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Use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Ink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#070A12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Primary dark background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Slate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#121824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Dark surface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Paper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#F5F7FA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Light background and text on dark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Muted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#667085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W w:type="dxa" w:w="262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Electric blue</w:t>
            </w:r>
          </w:p>
        </w:tc>
        <w:tc>
          <w:tcPr>
            <w:tcW w:type="dxa" w:w="1752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#365BFF</w:t>
            </w:r>
          </w:p>
        </w:tc>
        <w:tc>
          <w:tcPr>
            <w:tcW w:type="dxa" w:w="5257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Accent, focus, primary action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Typography: Termina weights 300, 400, 500 from Adobe Fonts project okn5dwf. Assets in public/assets: neuravic-logo.png, neuravic-mark.png, hero-art.png, neuravic-pattern.svg.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Frontend review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Next.js 16.2, React 19.2, TypeScript 5.9, Tailwind CSS 4.2, Lucide icons.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Built with vinext (Next API on Vite 8) and deployed as a Cloudflare Workers bundle (wrangler 4.92).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Hosting metadata (.openai/hosting.json): d1 = null, r2 = null. No database or bucket is bound.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Installed but unused: drizzle-orm 0.45 and drizzle-kit (SQLite), zod 3, react-hook-form with @hookform/resolvers.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About 60 shadcn/ui components in components/ui (forms, dialogs, tables, charts, sidebar): a ready base for the Portal UI.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Source map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Path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app/page.tsx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Entire marketing page: hero, services, work, two projects, process, about, team, contact, footer.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app/layout.tsx · app/globals.css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Metadata, fonts, viewport · all brand styling.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components/site-header.tsx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 component: sticky nav, active section, mobile menu, Portal button (toast only).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components/site-effects.tsx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 component: reveal on scroll, hero parallax.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app/chatgpt-auth.ts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Reads oai-authenticated-user-* headers from the hosting platform. Not used by any page.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db/index.ts · db/schema.ts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getDb() builds Drizzle on the D1 binding DB · schema is empty.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examples/d1/</w:t>
            </w:r>
          </w:p>
        </w:tc>
        <w:tc>
          <w:tcPr>
            <w:tcW w:type="dxa" w:w="6425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Opt-in notes table and GET/POST /api/notes route. Shows the intended API pattern.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Gaps the backend must close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Contact: </w:t>
      </w:r>
      <w:r>
        <w:rPr>
          <w:rFonts w:ascii="Calibri" w:cs="Calibri" w:eastAsia="Calibri" w:hAnsi="Calibri"/>
          <w:sz w:val="21"/>
          <w:szCs w:val="21"/>
        </w:rPr>
        <w:t xml:space="preserve">mailto:hello@neuravic.com only. No form, spam protection or record of enquiries.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Portal: </w:t>
      </w:r>
      <w:r>
        <w:rPr>
          <w:rFonts w:ascii="Calibri" w:cs="Calibri" w:eastAsia="Calibri" w:hAnsi="Calibri"/>
          <w:sz w:val="21"/>
          <w:szCs w:val="21"/>
        </w:rPr>
        <w:t xml:space="preserve">desktop and mobile menus only show "Ready to connect when you provide the final URL." No login or sessions.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Content: </w:t>
      </w:r>
      <w:r>
        <w:rPr>
          <w:rFonts w:ascii="Calibri" w:cs="Calibri" w:eastAsia="Calibri" w:hAnsi="Calibri"/>
          <w:sz w:val="21"/>
          <w:szCs w:val="21"/>
        </w:rPr>
        <w:t xml:space="preserve">services, projects, process and team are hard-coded in app/page.tsx. Acceptable for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Quality: </w:t>
      </w:r>
      <w:r>
        <w:rPr>
          <w:rFonts w:ascii="Calibri" w:cs="Calibri" w:eastAsia="Calibri" w:hAnsi="Calibri"/>
          <w:sz w:val="21"/>
          <w:szCs w:val="21"/>
        </w:rPr>
        <w:t xml:space="preserve">no API routes beyond the example, no tests, no CI workflow. Lint is the only 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Auth helpers: </w:t>
      </w:r>
      <w:r>
        <w:rPr>
          <w:rFonts w:ascii="Calibri" w:cs="Calibri" w:eastAsia="Calibri" w:hAnsi="Calibri"/>
          <w:sz w:val="21"/>
          <w:szCs w:val="21"/>
        </w:rPr>
        <w:t xml:space="preserve">tied to the hosting platform. Do not rely on them for the production Portal.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What the backend should do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65BFF"/>
          <w:sz w:val="18"/>
          <w:szCs w:val="18"/>
        </w:rPr>
        <w:t xml:space="preserve">PROPOSAL  </w:t>
      </w:r>
      <w:r>
        <w:rPr>
          <w:rFonts w:ascii="Calibri" w:cs="Calibri" w:eastAsia="Calibri" w:hAnsi="Calibri"/>
          <w:sz w:val="21"/>
          <w:szCs w:val="21"/>
        </w:rPr>
        <w:t xml:space="preserve">Derived only from the gaps above. Full design and ADRs are in the PDF.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701"/>
        <w:gridCol w:w="3918"/>
      </w:tblGrid>
      <w:tr>
        <w:trPr>
          <w:tblHeader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Priority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Capability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Lead intake API with validation, bot protection, email notification and storage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Replaces mailto; all CTAs funnel here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Environments, CI, secrets, migrations, logging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Nothing exists yet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Authentication, organisations and roles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Header already promises a Portal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Portal core: projects, requests, approvals, files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Matches the operations and access-workflow positioning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P2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Admin console, audit log, exports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 the business day to day</w:t>
            </w:r>
          </w:p>
        </w:tc>
      </w:tr>
      <w:tr>
        <w:trPr>
          <w:tblHeader w:val="false"/>
        </w:trPr>
        <w:tc>
          <w:tcPr>
            <w:tcW w:type="dxa" w:w="101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P3</w:t>
            </w:r>
          </w:p>
        </w:tc>
        <w:tc>
          <w:tcPr>
            <w:tcW w:type="dxa" w:w="470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SSO and API bridge to DARKAGENT and COOLACCESS_DXB</w:t>
            </w:r>
          </w:p>
        </w:tc>
        <w:tc>
          <w:tcPr>
            <w:tcW w:type="dxa" w:w="391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Products stay separate systems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Recommended direction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Cloudflare-native: </w:t>
      </w:r>
      <w:r>
        <w:rPr>
          <w:rFonts w:ascii="Calibri" w:cs="Calibri" w:eastAsia="Calibri" w:hAnsi="Calibri"/>
          <w:sz w:val="21"/>
          <w:szCs w:val="21"/>
        </w:rPr>
        <w:t xml:space="preserve">the frontend already builds to a Worker and ships a D1 helper. Hono API on Workers with D1, R2, KV and Queues adds no new hosting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Modular monolith: </w:t>
      </w:r>
      <w:r>
        <w:rPr>
          <w:rFonts w:ascii="Calibri" w:cs="Calibri" w:eastAsia="Calibri" w:hAnsi="Calibri"/>
          <w:sz w:val="21"/>
          <w:szCs w:val="21"/>
        </w:rPr>
        <w:t xml:space="preserve">three people need one deployable with clear module boundaries.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Contract-first: </w:t>
      </w:r>
      <w:r>
        <w:rPr>
          <w:rFonts w:ascii="Calibri" w:cs="Calibri" w:eastAsia="Calibri" w:hAnsi="Calibri"/>
          <w:sz w:val="21"/>
          <w:szCs w:val="21"/>
        </w:rPr>
        <w:t xml:space="preserve">one shared zod schema validates both the frontend form and the API; OpenAPI is generated from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Own the auth: </w:t>
      </w:r>
      <w:r>
        <w:rPr>
          <w:rFonts w:ascii="Calibri" w:cs="Calibri" w:eastAsia="Calibri" w:hAnsi="Calibri"/>
          <w:sz w:val="21"/>
          <w:szCs w:val="21"/>
        </w:rPr>
        <w:t xml:space="preserve">passwordless magic link and passkeys, not the chatgpt.site headers.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System context (target):</w:t>
      </w:r>
    </w:p>
    <w:p>
      <w:pPr>
        <w:jc w:val="center"/>
      </w:pPr>
      <w:r>
        <w:drawing>
          <wp:inline distT="0" distB="0" distL="0" distR="0">
            <wp:extent cx="5715000" cy="3971925"/>
            <wp:effectExtent t="0" r="0" b="0" l="0"/>
            <wp:docPr id="1" name="ctx" descr="Target system context for Neuravic" title="Contex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Calibri" w:cs="Calibri" w:eastAsia="Calibri" w:hAnsi="Calibri"/>
        </w:rPr>
        <w:t xml:space="preserve">6. Roadmap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Phase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Scope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Exit criteria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Foundations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API skeleton, bindings, CI, first migration, /health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 green, staging deploy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Lead intake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POST /leads, Turnstile, email, admin list, site form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Real enquiry stored and notified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Auth and orgs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Magic link, sessions, roles, invites, audit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Role matrix tests pass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Portal core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Projects, requests, approvals, files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Pilot client runs a workflow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 Admin and content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Console, exports, content API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Staff work without DB access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 Product bridge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Token exchange and JWKS</w:t>
            </w:r>
          </w:p>
        </w:tc>
        <w:tc>
          <w:tcPr>
            <w:tcW w:type="dxa" w:w="2966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SSO across products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Phase durations and effort are in the PDF and are planning estimates, not commitments.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Custom authentication flaws: use vetted libraries or a vendor; penetration test before client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Scope creep into product features: products own their data; integrate via SSO and API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Regulatory or residency surprises: confirm with counsel early. This document is engineering guidance, not legal advice.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Decisions needed from you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shd w:fill="E3E9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Recommendation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D1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Backend platform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Cloudflare Workers + TypeScript; alternative Node + PostgreSQL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D2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Who is the Portal for: clients, staff or both?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Both, organised by client org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D3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 DARKAGENT and COOLACCESS_DXB sign in via the Portal?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SSO only at first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D4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residency (UAE, Egypt)?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Confirm before phase 2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D5</w:t>
            </w:r>
          </w:p>
        </w:tc>
        <w:tc>
          <w:tcPr>
            <w:tcW w:type="dxa" w:w="4448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 Portal URL, production domain and sending email domain</w:t>
            </w:r>
          </w:p>
        </w:tc>
        <w:tc>
          <w:tcPr>
            <w:tcW w:type="dxa" w:w="4449"/>
            <w:tcBorders>
              <w:top w:val="single" w:color="B8C0D4" w:sz="4"/>
              <w:left w:val="single" w:color="B8C0D4" w:sz="4"/>
              <w:bottom w:val="single" w:color="B8C0D4" w:sz="4"/>
              <w:right w:val="single" w:color="B8C0D4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Needed in phase 0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67085"/>
        <w:sz w:val="16"/>
        <w:szCs w:val="16"/>
      </w:rPr>
      <w:t xml:space="preserve">Neuravic — Company Profile v2.0 · page </w:t>
    </w:r>
    <w:r>
      <w:rPr>
        <w:rFonts w:ascii="Calibri" w:cs="Calibri" w:eastAsia="Calibri" w:hAnsi="Calibri"/>
        <w:color w:val="6670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365BF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070A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45a34770f1fd2b3f5589f82f2c500c1e1ddaf8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2026-10-18T01:06:24.768Z</dcterms:created>
  <dcterms:modified xsi:type="dcterms:W3CDTF">2026-10-18T01:06:24.768Z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