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BỘ GIÁO DỤC VÀ ĐÀO TẠO</w:t>
        <w:br/>
      </w:r>
      <w:r>
        <w:rPr>
          <w:b/>
          <w:sz w:val="22"/>
        </w:rPr>
        <w:t>NGHIÊN CỨU KHOA HỌC SINH VIÊN</w:t>
      </w:r>
    </w:p>
    <w:p>
      <w:pPr>
        <w:spacing w:before="240" w:after="120"/>
        <w:jc w:val="center"/>
      </w:pPr>
      <w:r>
        <w:rPr>
          <w:b/>
          <w:color w:val="003366"/>
          <w:sz w:val="30"/>
        </w:rPr>
        <w:t>BÁO CÁO TIẾN ĐỘ NGHIÊN CỨU KHOA HỌC</w:t>
        <w:br/>
      </w:r>
      <w:r>
        <w:rPr>
          <w:b/>
          <w:sz w:val="25"/>
        </w:rPr>
        <w:t>GIAI ĐOẠN 2: THIẾT LẬP HẠ TẦNG, XÁC THỰC CHECKPOINT VÀ THỰC NGHIỆM SMOKE TEST TRÊN DỮ LIỆU THẬT</w:t>
      </w:r>
    </w:p>
    <w:p>
      <w:pPr>
        <w:spacing w:after="320"/>
        <w:jc w:val="center"/>
      </w:pPr>
      <w:r>
        <w:rPr>
          <w:i/>
          <w:sz w:val="21"/>
        </w:rPr>
        <w:t>(Căn cứ theo Đề cương nghiên cứu và Kế hoạch phân công triển khai)</w:t>
      </w:r>
    </w:p>
    <w:p>
      <w:pPr>
        <w:spacing w:before="240"/>
      </w:pPr>
      <w:r>
        <w:rPr>
          <w:b/>
          <w:color w:val="003366"/>
          <w:sz w:val="26"/>
        </w:rPr>
        <w:t>1. THÔNG TIN CHUNG VỀ ĐỀ TÀI &amp; NHÓM NGHIÊN CỨU</w:t>
      </w:r>
    </w:p>
    <w:p>
      <w:r>
        <w:rPr>
          <w:b/>
        </w:rPr>
        <w:t xml:space="preserve">• Tên đề tài: </w:t>
      </w:r>
      <w:r>
        <w:t>Ứng dụng PanDerm trong phân đoạn, gợi ý nhóm bệnh tham chiếu và dự báo thay đổi hình ảnh tổn thương da qua ảnh dermoscopy theo dõi.</w:t>
        <w:br/>
      </w:r>
      <w:r>
        <w:rPr>
          <w:b/>
        </w:rPr>
        <w:t xml:space="preserve">• Giảng viên hướng dẫn: </w:t>
      </w:r>
      <w:r>
        <w:t>[Điền họ tên, học hàm/học vị và đơn vị công tác]</w:t>
        <w:br/>
      </w:r>
      <w:r>
        <w:rPr>
          <w:b/>
        </w:rPr>
        <w:t xml:space="preserve">• Nhóm sinh viên thực hiện: </w:t>
      </w:r>
      <w:r>
        <w:br/>
        <w:t xml:space="preserve">   – Sinh viên A (Chủ nhiệm đề tài): Phụ trách quy chuẩn dữ liệu, nhãn tham chiếu, phân chia tập dữ liệu (split) và báo cáo nghiên cứu.</w:t>
      </w:r>
      <w:r>
        <w:br/>
        <w:t xml:space="preserve">   – Sinh viên B (Thành viên kỹ thuật): Phụ trách hạ tầng mô hình nền tảng PanDerm, tinh chỉnh phân đoạn (ISIC 2018), phân loại (ISIC 2017), xây dựng mô hình dự báo Ridge và tích hợp hệ thống.</w:t>
      </w:r>
    </w:p>
    <w:p>
      <w:pPr>
        <w:spacing w:before="240"/>
      </w:pPr>
      <w:r>
        <w:rPr>
          <w:b/>
          <w:color w:val="003366"/>
          <w:sz w:val="26"/>
        </w:rPr>
        <w:t>2. BẢN CHẤT VÀ MỤC TIÊU CỦA GIAI ĐOẠN KHỞI ĐỘNG (SMOKE TEST TRÊN DATA)</w:t>
      </w:r>
    </w:p>
    <w:p>
      <w:r>
        <w:rPr>
          <w:i w:val="0"/>
        </w:rPr>
        <w:t xml:space="preserve">Trong nghiên cứu học máy y tế và xử lý ảnh chuyên sâu, việc </w:t>
      </w:r>
      <w:r>
        <w:rPr>
          <w:b/>
        </w:rPr>
        <w:t>«chạy thử trên dữ liệu» (Smoke test / Sanity check)</w:t>
      </w:r>
      <w:r>
        <w:t xml:space="preserve"> ở giai đoạn đầu không phải là huấn luyện mô hình để đo độ chính xác chẩn đoán (Dice score hay Accuracy), mà là bước sống còn nhằm xác thực kỹ thuật đường ống xử lý (pipeline verification). Quy trình nghiên cứu chuẩn được chia làm 3 cấp độ:</w:t>
      </w:r>
    </w:p>
    <w:p>
      <w:pPr>
        <w:ind w:left="288"/>
      </w:pPr>
      <w:r>
        <w:rPr>
          <w:b/>
        </w:rPr>
        <w:t xml:space="preserve">1. Cấp độ 1 — Smoke Test (Hoàn thành ở Giai đoạn P2): </w:t>
      </w:r>
      <w:r>
        <w:t>Sử dụng một tập mẫu nhỏ dữ liệu thật (20 ảnh ISIC 2018 Validation) để xác minh: mô hình có nạp được vào GPU không; các thư viện phân đoạn/phân loại có xung đột không; ảnh đầu vào có kích thước và tỷ lệ khác nhau có bị lỗi tràn bộ nhớ (Out-Of-Memory) hay lỗi shape không; và đo thời gian xử lý thực tế trên mỗi ảnh.</w:t>
        <w:br/>
      </w:r>
      <w:r>
        <w:rPr>
          <w:i/>
        </w:rPr>
        <w:t xml:space="preserve">   *Lưu ý khoa học: </w:t>
      </w:r>
      <w:r>
        <w:rPr>
          <w:i/>
        </w:rPr>
        <w:t>Tại giai đoạn này, checkpoint PanDerm Base là mô hình tự giám sát (self-supervised pretrain) chưa được tinh chỉnh (fine-tune) cho bài toán cụ thể; các tầng phân đoạn (decode head) và phân loại được khởi tạo ngẫu nhiên. Do đó, việc mask tạo ra chưa khớp tổn thương và xác suất 3 nhóm bệnh chia đều ~33% là hoàn toàn bình thường, đúng quy luật khoa học trước khi bước vào huấn luyện.</w:t>
        <w:br/>
      </w:r>
    </w:p>
    <w:p>
      <w:pPr>
        <w:ind w:left="288"/>
      </w:pPr>
      <w:r>
        <w:rPr>
          <w:b/>
        </w:rPr>
        <w:t xml:space="preserve">2. Cấp độ 2 — Chuẩn bị Dữ liệu &amp; Phân chia không rò rỉ (Giai đoạn P3): </w:t>
      </w:r>
      <w:r>
        <w:t>Xây dựng file Manifest, kiểm tra tính toàn vẹn (mã băm SHA-256), loại trừ ảnh hỏng, và phân chia tập Train / Val / Test theo cấp độ bệnh nhân (patient-level split) để chống rò rỉ dữ liệu (data leakage).</w:t>
        <w:br/>
      </w:r>
    </w:p>
    <w:p>
      <w:pPr>
        <w:ind w:left="288"/>
      </w:pPr>
      <w:r>
        <w:rPr>
          <w:b/>
        </w:rPr>
        <w:t xml:space="preserve">3. Cấp độ 3 — Thử nghiệm Huấn luyện ngắn (Pilot 1 Epoch ở P5): </w:t>
      </w:r>
      <w:r>
        <w:t>Huấn luyện thử 1 vòng để kiểm tra hàm mất mát (loss function) có hội tụ không, cơ chế lưu trữ điểm kiểm tra (checkpoint resume) có hoạt động khi bị dừng đột ngột không, trước khi tiến hành chạy chính thức nhiều ngày trên GPU.</w:t>
      </w:r>
    </w:p>
    <w:p>
      <w:pPr>
        <w:spacing w:before="240"/>
      </w:pPr>
      <w:r>
        <w:rPr>
          <w:b/>
          <w:color w:val="003366"/>
          <w:sz w:val="26"/>
        </w:rPr>
        <w:t>3. KẾT QUẢ THỰC HIỆN CHI TIẾT TẠI GIAI ĐOẠN 2 (P2)</w:t>
      </w:r>
    </w:p>
    <w:p>
      <w:r>
        <w:rPr>
          <w:b/>
        </w:rPr>
        <w:t>3.1. Thiết lập hạ tầng môi trường và giải quyết xung đột phụ thuộc</w:t>
        <w:br/>
      </w:r>
      <w:r>
        <w:t>Nhóm đã phát hiện và xử lý thành công xung đột thư viện nghiêm trọng giữa hai nhánh mô hình của PanDerm:</w:t>
        <w:br/>
      </w:r>
      <w:r>
        <w:t xml:space="preserve">• Nhánh Phân đoạn (Segmentation): Bắt buộc dùng </w:t>
      </w:r>
      <w:r>
        <w:rPr>
          <w:b/>
        </w:rPr>
        <w:t>PyTorch 2.1.2 + MMCV 2.1.0 + MMSegmentation 1.2.2</w:t>
      </w:r>
      <w:r>
        <w:t xml:space="preserve"> (do wheel mmcv 2.1.0 được biên dịch sẵn trên CUDA 11.8; hướng dẫn cũ dùng torch 2.2.1 sẽ kéo mmcv 2.2.0 gây lỗi assert không tương thích).</w:t>
        <w:br/>
      </w:r>
      <w:r>
        <w:t xml:space="preserve">• Nhánh Phân loại (Classification): Bắt buộc dùng </w:t>
      </w:r>
      <w:r>
        <w:rPr>
          <w:b/>
        </w:rPr>
        <w:t>PyTorch 2.4.1 + timm 0.9.16</w:t>
      </w:r>
      <w:r>
        <w:t xml:space="preserve"> (timm phải ghim bản 0.9.16 để tương thích với các module modeling_finetune của PanDerm).</w:t>
        <w:br/>
      </w:r>
      <w:r>
        <w:t>• Giải pháp: Thiết lập 2 môi trường ảo hóa độc lập (</w:t>
      </w:r>
      <w:r>
        <w:rPr>
          <w:b/>
        </w:rPr>
        <w:t>venv_seg</w:t>
      </w:r>
      <w:r>
        <w:t xml:space="preserve"> và </w:t>
      </w:r>
      <w:r>
        <w:rPr>
          <w:b/>
        </w:rPr>
        <w:t>venv_cls</w:t>
      </w:r>
      <w:r>
        <w:t>) cùng môi trường quản trị CPU lõi (.venv). Cả hai đều đã nhận diện chính xác GPU NVIDIA GeForce RTX 3050.</w:t>
      </w:r>
    </w:p>
    <w:p>
      <w:r>
        <w:rPr>
          <w:b/>
        </w:rPr>
        <w:t>3.2. Quản lý Checkpoint PanDerm Base và Vá lỗi mã nguồn (Patching)</w:t>
        <w:br/>
      </w:r>
      <w:r>
        <w:t>• Checkpoint chính thức: Đã tải tệp trọng số PanDerm Base ViT-B/16 (</w:t>
      </w:r>
      <w:r>
        <w:rPr>
          <w:b/>
        </w:rPr>
        <w:t>panderm_bb_data6_checkpoint-499.pth</w:t>
      </w:r>
      <w:r>
        <w:t xml:space="preserve">, dung lượng 328 MB) và khóa mã băm SHA-256 an toàn: </w:t>
      </w:r>
      <w:r>
        <w:rPr>
          <w:b/>
        </w:rPr>
        <w:t>be1e0fb108b3bc58721cb5195f136c948160799438f222acf1fd142230ac1ff1</w:t>
      </w:r>
      <w:r>
        <w:t>.</w:t>
        <w:br/>
        <w:t xml:space="preserve">• Vá mã nguồn (Patching): Mã nguồn PanDerm gốc được viết cứng cho bản Large (1024 chiều). Nhóm đã tạo và áp bản vá </w:t>
      </w:r>
      <w:r>
        <w:rPr>
          <w:b/>
        </w:rPr>
        <w:t>patches/panderm_base_seg.patch</w:t>
      </w:r>
      <w:r>
        <w:t xml:space="preserve"> giải quyết 5 vấn đề: chuyển cấu hình sang ViT-B/16 (768 chiều, 12 tầng), đọc đường dẫn checkpoint qua biến môi trường, bảo vệ quá trình nạp trọng số chống lỗi KeyError, bổ sung callback lưu checkpoint định kỳ khi dừng giữa chừng, và ngắt chế độ tự động mở test.</w:t>
        <w:br/>
      </w:r>
      <w:r>
        <w:t xml:space="preserve">• Độ phủ trọng số (Weight Coverage): Kết quả kiểm tra đạt tỷ lệ khớp tuyệt đối: </w:t>
      </w:r>
      <w:r>
        <w:rPr>
          <w:b/>
        </w:rPr>
        <w:t>100.0% trên nhánh Segmentation</w:t>
      </w:r>
      <w:r>
        <w:t xml:space="preserve"> (186/197 keys) và </w:t>
      </w:r>
      <w:r>
        <w:rPr>
          <w:b/>
        </w:rPr>
        <w:t>93.8% trên nhánh Classification</w:t>
      </w:r>
      <w:r>
        <w:t xml:space="preserve"> (186/212 keys, các key còn lại là head phân loại mới).</w:t>
      </w:r>
    </w:p>
    <w:p>
      <w:r>
        <w:rPr>
          <w:b/>
        </w:rPr>
        <w:t>3.3. Kết quả đo đạc thực nghiệm Smoke Test trên 20 ảnh ISIC 2018 Validation</w:t>
        <w:br/>
      </w:r>
      <w:r>
        <w:t>Thực nghiệm được ghi nhận tự động bằng hệ thống Run Card có chữ ký số (run_card.json) trên GPU NVIDIA GeForce RTX 3050 Laptop:</w:t>
      </w:r>
    </w:p>
    <w:tbl>
      <w:tblPr>
        <w:tblW w:type="auto" w:w="0"/>
        <w:jc w:val="center"/>
        <w:tblLook w:firstColumn="1" w:firstRow="1" w:lastColumn="0" w:lastRow="0" w:noHBand="0" w:noVBand="1" w:val="04A0"/>
      </w:tblPr>
      <w:tblGrid>
        <w:gridCol w:w="1175"/>
        <w:gridCol w:w="1175"/>
        <w:gridCol w:w="1175"/>
        <w:gridCol w:w="1175"/>
        <w:gridCol w:w="1175"/>
        <w:gridCol w:w="1175"/>
        <w:gridCol w:w="1175"/>
        <w:gridCol w:w="1175"/>
      </w:tblGrid>
      <w:tr>
        <w:tc>
          <w:tcPr>
            <w:tcW w:type="dxa" w:w="1175"/>
            <w:shd w:fill="EAECEE"/>
            <w:tcMar>
              <w:top w:w="120" w:type="dxa"/>
              <w:bottom w:w="12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b/>
                <w:sz w:val="19"/>
              </w:rPr>
              <w:t>Ngày thực hiện</w:t>
            </w:r>
          </w:p>
        </w:tc>
        <w:tc>
          <w:tcPr>
            <w:tcW w:type="dxa" w:w="1175"/>
            <w:shd w:fill="EAECEE"/>
            <w:tcMar>
              <w:top w:w="120" w:type="dxa"/>
              <w:bottom w:w="12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b/>
                <w:sz w:val="19"/>
              </w:rPr>
              <w:t>Thiết bị phần cứng</w:t>
            </w:r>
          </w:p>
        </w:tc>
        <w:tc>
          <w:tcPr>
            <w:tcW w:type="dxa" w:w="1175"/>
            <w:shd w:fill="EAECEE"/>
            <w:tcMar>
              <w:top w:w="120" w:type="dxa"/>
              <w:bottom w:w="12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b/>
                <w:sz w:val="19"/>
              </w:rPr>
              <w:t>Tác vụ</w:t>
            </w:r>
          </w:p>
        </w:tc>
        <w:tc>
          <w:tcPr>
            <w:tcW w:type="dxa" w:w="1175"/>
            <w:shd w:fill="EAECEE"/>
            <w:tcMar>
              <w:top w:w="120" w:type="dxa"/>
              <w:bottom w:w="12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b/>
                <w:sz w:val="19"/>
              </w:rPr>
              <w:t>Số ảnh (n)</w:t>
            </w:r>
          </w:p>
        </w:tc>
        <w:tc>
          <w:tcPr>
            <w:tcW w:type="dxa" w:w="1175"/>
            <w:shd w:fill="EAECEE"/>
            <w:tcMar>
              <w:top w:w="120" w:type="dxa"/>
              <w:bottom w:w="12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b/>
                <w:sz w:val="19"/>
              </w:rPr>
              <w:t>Thời gian trung bình</w:t>
            </w:r>
          </w:p>
        </w:tc>
        <w:tc>
          <w:tcPr>
            <w:tcW w:type="dxa" w:w="1175"/>
            <w:shd w:fill="EAECEE"/>
            <w:tcMar>
              <w:top w:w="120" w:type="dxa"/>
              <w:bottom w:w="12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b/>
                <w:sz w:val="19"/>
              </w:rPr>
              <w:t>Thời gian phân vị 95%</w:t>
            </w:r>
          </w:p>
        </w:tc>
        <w:tc>
          <w:tcPr>
            <w:tcW w:type="dxa" w:w="1175"/>
            <w:shd w:fill="EAECEE"/>
            <w:tcMar>
              <w:top w:w="120" w:type="dxa"/>
              <w:bottom w:w="12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b/>
                <w:sz w:val="19"/>
              </w:rPr>
              <w:t>VRAM đỉnh</w:t>
            </w:r>
          </w:p>
        </w:tc>
        <w:tc>
          <w:tcPr>
            <w:tcW w:type="dxa" w:w="1175"/>
            <w:shd w:fill="EAECEE"/>
            <w:tcMar>
              <w:top w:w="120" w:type="dxa"/>
              <w:bottom w:w="12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b/>
                <w:sz w:val="19"/>
              </w:rPr>
              <w:t>Mã thực thi (run_id)</w:t>
            </w:r>
          </w:p>
        </w:tc>
      </w:tr>
      <w:tr>
        <w:tc>
          <w:tcPr>
            <w:tcW w:type="dxa" w:w="1175"/>
            <w:tcMar>
              <w:top w:w="100" w:type="dxa"/>
              <w:bottom w:w="10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sz w:val="19"/>
              </w:rPr>
              <w:t>2026-10-09</w:t>
            </w:r>
          </w:p>
        </w:tc>
        <w:tc>
          <w:tcPr>
            <w:tcW w:type="dxa" w:w="1175"/>
            <w:tcMar>
              <w:top w:w="100" w:type="dxa"/>
              <w:bottom w:w="100" w:type="dxa"/>
              <w:left w:w="100" w:type="dxa"/>
              <w:right w:w="100" w:type="dxa"/>
            </w:tcMar>
            <w:tcBorders>
              <w:top w:val="single" w:sz="4" w:space="0" w:color="BDC3C7"/>
              <w:left w:val="single" w:sz="4" w:space="0" w:color="BDC3C7"/>
              <w:bottom w:val="single" w:sz="4" w:space="0" w:color="BDC3C7"/>
              <w:right w:val="single" w:sz="4" w:space="0" w:color="BDC3C7"/>
            </w:tcBorders>
          </w:tcPr>
          <w:p>
            <w:pPr>
              <w:jc w:val="left"/>
            </w:pPr>
            <w:r>
              <w:rPr>
                <w:sz w:val="19"/>
              </w:rPr>
              <w:t>NVIDIA RTX 3050</w:t>
            </w:r>
          </w:p>
        </w:tc>
        <w:tc>
          <w:tcPr>
            <w:tcW w:type="dxa" w:w="1175"/>
            <w:tcMar>
              <w:top w:w="100" w:type="dxa"/>
              <w:bottom w:w="10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sz w:val="19"/>
              </w:rPr>
              <w:t>Phân đoạn (seg)</w:t>
            </w:r>
          </w:p>
        </w:tc>
        <w:tc>
          <w:tcPr>
            <w:tcW w:type="dxa" w:w="1175"/>
            <w:tcMar>
              <w:top w:w="100" w:type="dxa"/>
              <w:bottom w:w="10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sz w:val="19"/>
              </w:rPr>
              <w:t>20</w:t>
            </w:r>
          </w:p>
        </w:tc>
        <w:tc>
          <w:tcPr>
            <w:tcW w:type="dxa" w:w="1175"/>
            <w:tcMar>
              <w:top w:w="100" w:type="dxa"/>
              <w:bottom w:w="10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sz w:val="19"/>
              </w:rPr>
              <w:t>177.5 ms/ảnh</w:t>
            </w:r>
          </w:p>
        </w:tc>
        <w:tc>
          <w:tcPr>
            <w:tcW w:type="dxa" w:w="1175"/>
            <w:tcMar>
              <w:top w:w="100" w:type="dxa"/>
              <w:bottom w:w="10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sz w:val="19"/>
              </w:rPr>
              <w:t>285.5 ms/ảnh</w:t>
            </w:r>
          </w:p>
        </w:tc>
        <w:tc>
          <w:tcPr>
            <w:tcW w:type="dxa" w:w="1175"/>
            <w:tcMar>
              <w:top w:w="100" w:type="dxa"/>
              <w:bottom w:w="10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sz w:val="19"/>
              </w:rPr>
              <w:t>812.4 MB</w:t>
            </w:r>
          </w:p>
        </w:tc>
        <w:tc>
          <w:tcPr>
            <w:tcW w:type="dxa" w:w="1175"/>
            <w:tcMar>
              <w:top w:w="100" w:type="dxa"/>
              <w:bottom w:w="100" w:type="dxa"/>
              <w:left w:w="100" w:type="dxa"/>
              <w:right w:w="100" w:type="dxa"/>
            </w:tcMar>
            <w:tcBorders>
              <w:top w:val="single" w:sz="4" w:space="0" w:color="BDC3C7"/>
              <w:left w:val="single" w:sz="4" w:space="0" w:color="BDC3C7"/>
              <w:bottom w:val="single" w:sz="4" w:space="0" w:color="BDC3C7"/>
              <w:right w:val="single" w:sz="4" w:space="0" w:color="BDC3C7"/>
            </w:tcBorders>
          </w:tcPr>
          <w:p>
            <w:pPr>
              <w:jc w:val="left"/>
            </w:pPr>
            <w:r>
              <w:rPr>
                <w:sz w:val="19"/>
              </w:rPr>
              <w:t>20261009-143135_smoke_seg</w:t>
            </w:r>
          </w:p>
        </w:tc>
      </w:tr>
      <w:tr>
        <w:tc>
          <w:tcPr>
            <w:tcW w:type="dxa" w:w="1175"/>
            <w:tcMar>
              <w:top w:w="100" w:type="dxa"/>
              <w:bottom w:w="10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sz w:val="19"/>
              </w:rPr>
              <w:t>2026-10-09</w:t>
            </w:r>
          </w:p>
        </w:tc>
        <w:tc>
          <w:tcPr>
            <w:tcW w:type="dxa" w:w="1175"/>
            <w:tcMar>
              <w:top w:w="100" w:type="dxa"/>
              <w:bottom w:w="100" w:type="dxa"/>
              <w:left w:w="100" w:type="dxa"/>
              <w:right w:w="100" w:type="dxa"/>
            </w:tcMar>
            <w:tcBorders>
              <w:top w:val="single" w:sz="4" w:space="0" w:color="BDC3C7"/>
              <w:left w:val="single" w:sz="4" w:space="0" w:color="BDC3C7"/>
              <w:bottom w:val="single" w:sz="4" w:space="0" w:color="BDC3C7"/>
              <w:right w:val="single" w:sz="4" w:space="0" w:color="BDC3C7"/>
            </w:tcBorders>
          </w:tcPr>
          <w:p>
            <w:pPr>
              <w:jc w:val="left"/>
            </w:pPr>
            <w:r>
              <w:rPr>
                <w:sz w:val="19"/>
              </w:rPr>
              <w:t>NVIDIA RTX 3050</w:t>
            </w:r>
          </w:p>
        </w:tc>
        <w:tc>
          <w:tcPr>
            <w:tcW w:type="dxa" w:w="1175"/>
            <w:tcMar>
              <w:top w:w="100" w:type="dxa"/>
              <w:bottom w:w="10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sz w:val="19"/>
              </w:rPr>
              <w:t>Phân loại (cls)</w:t>
            </w:r>
          </w:p>
        </w:tc>
        <w:tc>
          <w:tcPr>
            <w:tcW w:type="dxa" w:w="1175"/>
            <w:tcMar>
              <w:top w:w="100" w:type="dxa"/>
              <w:bottom w:w="10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sz w:val="19"/>
              </w:rPr>
              <w:t>20</w:t>
            </w:r>
          </w:p>
        </w:tc>
        <w:tc>
          <w:tcPr>
            <w:tcW w:type="dxa" w:w="1175"/>
            <w:tcMar>
              <w:top w:w="100" w:type="dxa"/>
              <w:bottom w:w="10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sz w:val="19"/>
              </w:rPr>
              <w:t>85.6 ms/ảnh</w:t>
            </w:r>
          </w:p>
        </w:tc>
        <w:tc>
          <w:tcPr>
            <w:tcW w:type="dxa" w:w="1175"/>
            <w:tcMar>
              <w:top w:w="100" w:type="dxa"/>
              <w:bottom w:w="10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sz w:val="19"/>
              </w:rPr>
              <w:t>160.9 ms/ảnh</w:t>
            </w:r>
          </w:p>
        </w:tc>
        <w:tc>
          <w:tcPr>
            <w:tcW w:type="dxa" w:w="1175"/>
            <w:tcMar>
              <w:top w:w="100" w:type="dxa"/>
              <w:bottom w:w="100" w:type="dxa"/>
              <w:left w:w="100" w:type="dxa"/>
              <w:right w:w="100" w:type="dxa"/>
            </w:tcMar>
            <w:tcBorders>
              <w:top w:val="single" w:sz="4" w:space="0" w:color="BDC3C7"/>
              <w:left w:val="single" w:sz="4" w:space="0" w:color="BDC3C7"/>
              <w:bottom w:val="single" w:sz="4" w:space="0" w:color="BDC3C7"/>
              <w:right w:val="single" w:sz="4" w:space="0" w:color="BDC3C7"/>
            </w:tcBorders>
          </w:tcPr>
          <w:p>
            <w:pPr>
              <w:jc w:val="center"/>
            </w:pPr>
            <w:r>
              <w:rPr>
                <w:sz w:val="19"/>
              </w:rPr>
              <w:t>350.5 MB</w:t>
            </w:r>
          </w:p>
        </w:tc>
        <w:tc>
          <w:tcPr>
            <w:tcW w:type="dxa" w:w="1175"/>
            <w:tcMar>
              <w:top w:w="100" w:type="dxa"/>
              <w:bottom w:w="100" w:type="dxa"/>
              <w:left w:w="100" w:type="dxa"/>
              <w:right w:w="100" w:type="dxa"/>
            </w:tcMar>
            <w:tcBorders>
              <w:top w:val="single" w:sz="4" w:space="0" w:color="BDC3C7"/>
              <w:left w:val="single" w:sz="4" w:space="0" w:color="BDC3C7"/>
              <w:bottom w:val="single" w:sz="4" w:space="0" w:color="BDC3C7"/>
              <w:right w:val="single" w:sz="4" w:space="0" w:color="BDC3C7"/>
            </w:tcBorders>
          </w:tcPr>
          <w:p>
            <w:pPr>
              <w:jc w:val="left"/>
            </w:pPr>
            <w:r>
              <w:rPr>
                <w:sz w:val="19"/>
              </w:rPr>
              <w:t>20261009-143452_smoke_cls</w:t>
            </w:r>
          </w:p>
        </w:tc>
      </w:tr>
    </w:tbl>
    <w:p>
      <w:pPr>
        <w:spacing w:before="80"/>
      </w:pPr>
      <w:r>
        <w:rPr>
          <w:i/>
          <w:sz w:val="21"/>
        </w:rPr>
        <w:t>Nhận xét kỹ thuật: Toàn bộ 20 ảnh có kích thước và tỷ lệ gốc khác nhau đều được mô hình xử lý trơn tru, mask xuất ra tự động nội suy khớp chính xác 100% kích thước pixel gốc. Mức tiêu thụ VRAM chỉ xấp xỉ 812 MB cho phân đoạn và 351 MB cho phân loại, hoàn toàn nằm trong giới hạn an toàn của GPU 4 GB, đảm bảo không gặp rủi ro quá tải bộ nhớ khi triển khai suy luận hàng loạt.</w:t>
      </w:r>
    </w:p>
    <w:p>
      <w:pPr>
        <w:spacing w:before="120"/>
      </w:pPr>
      <w:r>
        <w:rPr>
          <w:b/>
        </w:rPr>
        <w:t>3.4. Kiểm thử đơn vị tự động (Unit Test Suite)</w:t>
        <w:br/>
      </w:r>
      <w:r>
        <w:t xml:space="preserve">Toàn bộ bộ kiểm thử tự động của hệ thống đã đạt tỷ lệ hoàn thành tuyệt đối: </w:t>
      </w:r>
      <w:r>
        <w:rPr>
          <w:b/>
        </w:rPr>
        <w:t>21/21 passed (100%)</w:t>
      </w:r>
      <w:r>
        <w:t xml:space="preserve"> bao gồm:</w:t>
        <w:br/>
      </w:r>
      <w:r>
        <w:t>• tests/test_paths_runcard.py (6/6 passed): Kiểm tra phân giải đường dẫn, mã băm SHA-256 tệp dữ liệu, sinh ID lần chạy và cơ chế tạo thẻ truy vết run_card.json.</w:t>
        <w:br/>
      </w:r>
      <w:r>
        <w:t>• tests/test_inspect_checkpoint.py (4/4 passed): Kiểm tra nhận dạng cấu trúc tensor ViT-B/ViT-L và xử lý các checkpoint MAE bọc ngoài.</w:t>
        <w:br/>
      </w:r>
      <w:r>
        <w:t>• tests/test_infer.py (8/8 passed): Kiểm tra logic tiền xử lý theo chuẩn PanDerm upstream (mean/std, bicubic, crop), thuật toán giữ vùng liên thông lớn nhất và lấp lỗ (largest component), cơ chế xử lý mask rỗng, và chuyển đổi trọng số pretrain sang classification.</w:t>
        <w:br/>
      </w:r>
      <w:r>
        <w:t>• tests/test_bench.py (3/3 passed): Kiểm thử cơ chế đo benchmark, tính toán phân vị thời gian p50/p95, lưu ảnh lớp phủ overlay và kiểm tra tổng xác suất phân loại.</w:t>
      </w:r>
    </w:p>
    <w:p>
      <w:pPr>
        <w:spacing w:before="240"/>
      </w:pPr>
      <w:r>
        <w:rPr>
          <w:b/>
          <w:color w:val="003366"/>
          <w:sz w:val="26"/>
        </w:rPr>
        <w:t>4. CẬP NHẬT TIẾN ĐỘ THỰC HIỆN ĐỀ TÀI (ĐỐI CHIẾU MỤC 9 ĐỀ CƯƠNG)</w:t>
      </w:r>
    </w:p>
    <w:tbl>
      <w:tblPr>
        <w:tblW w:type="auto" w:w="0"/>
        <w:jc w:val="center"/>
        <w:tblLook w:firstColumn="1" w:firstRow="1" w:lastColumn="0" w:lastRow="0" w:noHBand="0" w:noVBand="1" w:val="04A0"/>
      </w:tblPr>
      <w:tblGrid>
        <w:gridCol w:w="2351"/>
        <w:gridCol w:w="2351"/>
        <w:gridCol w:w="2351"/>
        <w:gridCol w:w="2351"/>
      </w:tblGrid>
      <w:tr>
        <w:tc>
          <w:tcPr>
            <w:tcW w:type="dxa" w:w="2351"/>
            <w:shd w:fill="EAECEE"/>
            <w:tcMar>
              <w:top w:w="120" w:type="dxa"/>
              <w:bottom w:w="120" w:type="dxa"/>
              <w:left w:w="120" w:type="dxa"/>
              <w:right w:w="120" w:type="dxa"/>
            </w:tcMar>
            <w:tcBorders>
              <w:top w:val="single" w:sz="4" w:space="0" w:color="BDC3C7"/>
              <w:left w:val="single" w:sz="4" w:space="0" w:color="BDC3C7"/>
              <w:bottom w:val="single" w:sz="4" w:space="0" w:color="BDC3C7"/>
              <w:right w:val="single" w:sz="4" w:space="0" w:color="BDC3C7"/>
            </w:tcBorders>
          </w:tcPr>
          <w:p>
            <w:pPr>
              <w:jc w:val="center"/>
            </w:pPr>
            <w:r>
              <w:rPr>
                <w:b/>
                <w:sz w:val="20"/>
              </w:rPr>
              <w:t>Nội dung công việc (theo Đề cương)</w:t>
            </w:r>
          </w:p>
        </w:tc>
        <w:tc>
          <w:tcPr>
            <w:tcW w:type="dxa" w:w="2351"/>
            <w:shd w:fill="EAECEE"/>
            <w:tcMar>
              <w:top w:w="120" w:type="dxa"/>
              <w:bottom w:w="120" w:type="dxa"/>
              <w:left w:w="120" w:type="dxa"/>
              <w:right w:w="120" w:type="dxa"/>
            </w:tcMar>
            <w:tcBorders>
              <w:top w:val="single" w:sz="4" w:space="0" w:color="BDC3C7"/>
              <w:left w:val="single" w:sz="4" w:space="0" w:color="BDC3C7"/>
              <w:bottom w:val="single" w:sz="4" w:space="0" w:color="BDC3C7"/>
              <w:right w:val="single" w:sz="4" w:space="0" w:color="BDC3C7"/>
            </w:tcBorders>
          </w:tcPr>
          <w:p>
            <w:pPr>
              <w:jc w:val="center"/>
            </w:pPr>
            <w:r>
              <w:rPr>
                <w:b/>
                <w:sz w:val="20"/>
              </w:rPr>
              <w:t>Trạng thái</w:t>
            </w:r>
          </w:p>
        </w:tc>
        <w:tc>
          <w:tcPr>
            <w:tcW w:type="dxa" w:w="2351"/>
            <w:shd w:fill="EAECEE"/>
            <w:tcMar>
              <w:top w:w="120" w:type="dxa"/>
              <w:bottom w:w="120" w:type="dxa"/>
              <w:left w:w="120" w:type="dxa"/>
              <w:right w:w="120" w:type="dxa"/>
            </w:tcMar>
            <w:tcBorders>
              <w:top w:val="single" w:sz="4" w:space="0" w:color="BDC3C7"/>
              <w:left w:val="single" w:sz="4" w:space="0" w:color="BDC3C7"/>
              <w:bottom w:val="single" w:sz="4" w:space="0" w:color="BDC3C7"/>
              <w:right w:val="single" w:sz="4" w:space="0" w:color="BDC3C7"/>
            </w:tcBorders>
          </w:tcPr>
          <w:p>
            <w:pPr>
              <w:jc w:val="center"/>
            </w:pPr>
            <w:r>
              <w:rPr>
                <w:b/>
                <w:sz w:val="20"/>
              </w:rPr>
              <w:t>Tỷ lệ hoàn thành</w:t>
            </w:r>
          </w:p>
        </w:tc>
        <w:tc>
          <w:tcPr>
            <w:tcW w:type="dxa" w:w="2351"/>
            <w:shd w:fill="EAECEE"/>
            <w:tcMar>
              <w:top w:w="120" w:type="dxa"/>
              <w:bottom w:w="120" w:type="dxa"/>
              <w:left w:w="120" w:type="dxa"/>
              <w:right w:w="120" w:type="dxa"/>
            </w:tcMar>
            <w:tcBorders>
              <w:top w:val="single" w:sz="4" w:space="0" w:color="BDC3C7"/>
              <w:left w:val="single" w:sz="4" w:space="0" w:color="BDC3C7"/>
              <w:bottom w:val="single" w:sz="4" w:space="0" w:color="BDC3C7"/>
              <w:right w:val="single" w:sz="4" w:space="0" w:color="BDC3C7"/>
            </w:tcBorders>
          </w:tcPr>
          <w:p>
            <w:pPr>
              <w:jc w:val="center"/>
            </w:pPr>
            <w:r>
              <w:rPr>
                <w:b/>
                <w:sz w:val="20"/>
              </w:rPr>
              <w:t>Minh chứng thực tế</w:t>
            </w:r>
          </w:p>
        </w:tc>
      </w:tr>
      <w:tr>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left"/>
            </w:pPr>
            <w:r>
              <w:rPr>
                <w:sz w:val="19"/>
              </w:rPr>
              <w:t>Hạ tầng môi trường, Checkpoint PanDerm Base, Vá mã nguồn &amp; Smoke test (P0, P2)</w:t>
            </w:r>
          </w:p>
        </w:tc>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center"/>
            </w:pPr>
            <w:r>
              <w:rPr>
                <w:sz w:val="19"/>
              </w:rPr>
              <w:t>Đạt (Nghiệm thu)</w:t>
            </w:r>
          </w:p>
        </w:tc>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center"/>
            </w:pPr>
            <w:r>
              <w:rPr>
                <w:sz w:val="19"/>
              </w:rPr>
              <w:t>100%</w:t>
            </w:r>
          </w:p>
        </w:tc>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left"/>
            </w:pPr>
            <w:r>
              <w:rPr>
                <w:sz w:val="19"/>
              </w:rPr>
              <w:t>21 unit tests passed; độ phủ ViT 100%; bench_seg.json, bench_cls.json, 10 ảnh overlay, run_card.json</w:t>
            </w:r>
          </w:p>
        </w:tc>
      </w:tr>
      <w:tr>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left"/>
            </w:pPr>
            <w:r>
              <w:rPr>
                <w:sz w:val="19"/>
              </w:rPr>
              <w:t>Dữ liệu ISIC 2017/2018, Manifest &amp; Chia tập không rò rỉ (P3)</w:t>
            </w:r>
          </w:p>
        </w:tc>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center"/>
            </w:pPr>
            <w:r>
              <w:rPr>
                <w:sz w:val="19"/>
              </w:rPr>
              <w:t>Sẵn sàng triển khai</w:t>
            </w:r>
          </w:p>
        </w:tc>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center"/>
            </w:pPr>
            <w:r>
              <w:rPr>
                <w:sz w:val="19"/>
              </w:rPr>
              <w:t>10%</w:t>
            </w:r>
          </w:p>
        </w:tc>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left"/>
            </w:pPr>
            <w:r>
              <w:rPr>
                <w:sz w:val="19"/>
              </w:rPr>
              <w:t>Đã chuẩn bị quy cách dữ liệu và cấu trúc thư mục nckh_data; sẵn sàng tải trọn bộ và lập manifest.</w:t>
            </w:r>
          </w:p>
        </w:tc>
      </w:tr>
      <w:tr>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left"/>
            </w:pPr>
            <w:r>
              <w:rPr>
                <w:sz w:val="19"/>
              </w:rPr>
              <w:t>Huấn luyện tinh chỉnh PanDerm Phân đoạn &amp; Phân loại (P5a, P5b)</w:t>
            </w:r>
          </w:p>
        </w:tc>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center"/>
            </w:pPr>
            <w:r>
              <w:rPr>
                <w:sz w:val="19"/>
              </w:rPr>
              <w:t>Chưa thực hiện</w:t>
            </w:r>
          </w:p>
        </w:tc>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center"/>
            </w:pPr>
            <w:r>
              <w:rPr>
                <w:sz w:val="19"/>
              </w:rPr>
              <w:t>0%</w:t>
            </w:r>
          </w:p>
        </w:tc>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left"/>
            </w:pPr>
            <w:r>
              <w:rPr>
                <w:sz w:val="19"/>
              </w:rPr>
              <w:t>Chờ hoàn thành tập dữ liệu và manifest chuẩn từ Phase 3.</w:t>
            </w:r>
          </w:p>
        </w:tc>
      </w:tr>
      <w:tr>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left"/>
            </w:pPr>
            <w:r>
              <w:rPr>
                <w:sz w:val="19"/>
              </w:rPr>
              <w:t>Mô hình Hồi quy Ridge dự báo thay đổi &amp; Kiểm định sai số (P6, P7)</w:t>
            </w:r>
          </w:p>
        </w:tc>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center"/>
            </w:pPr>
            <w:r>
              <w:rPr>
                <w:sz w:val="19"/>
              </w:rPr>
              <w:t>Chưa thực hiện</w:t>
            </w:r>
          </w:p>
        </w:tc>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center"/>
            </w:pPr>
            <w:r>
              <w:rPr>
                <w:sz w:val="19"/>
              </w:rPr>
              <w:t>0%</w:t>
            </w:r>
          </w:p>
        </w:tc>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left"/>
            </w:pPr>
            <w:r>
              <w:rPr>
                <w:sz w:val="19"/>
              </w:rPr>
              <w:t>Đã xây dựng sẵn module suy luận nckh.infer và cấu trúc trích xuất đặc trưng.</w:t>
            </w:r>
          </w:p>
        </w:tc>
      </w:tr>
      <w:tr>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left"/>
            </w:pPr>
            <w:r>
              <w:rPr>
                <w:sz w:val="19"/>
              </w:rPr>
              <w:t>Giao diện Demo Streamlit, Báo cáo tổng kết &amp; Poster khoa học (P9, P10)</w:t>
            </w:r>
          </w:p>
        </w:tc>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center"/>
            </w:pPr>
            <w:r>
              <w:rPr>
                <w:sz w:val="19"/>
              </w:rPr>
              <w:t>Đang thực hiện</w:t>
            </w:r>
          </w:p>
        </w:tc>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center"/>
            </w:pPr>
            <w:r>
              <w:rPr>
                <w:sz w:val="19"/>
              </w:rPr>
              <w:t>15%</w:t>
            </w:r>
          </w:p>
        </w:tc>
        <w:tc>
          <w:tcPr>
            <w:tcW w:type="dxa" w:w="2351"/>
            <w:tcMar>
              <w:top w:w="100" w:type="dxa"/>
              <w:bottom w:w="100" w:type="dxa"/>
              <w:left w:w="120" w:type="dxa"/>
              <w:right w:w="120" w:type="dxa"/>
            </w:tcMar>
            <w:tcBorders>
              <w:top w:val="single" w:sz="4" w:space="0" w:color="BDC3C7"/>
              <w:left w:val="single" w:sz="4" w:space="0" w:color="BDC3C7"/>
              <w:bottom w:val="single" w:sz="4" w:space="0" w:color="BDC3C7"/>
              <w:right w:val="single" w:sz="4" w:space="0" w:color="BDC3C7"/>
            </w:tcBorders>
          </w:tcPr>
          <w:p>
            <w:pPr>
              <w:jc w:val="left"/>
            </w:pPr>
            <w:r>
              <w:rPr>
                <w:sz w:val="19"/>
              </w:rPr>
              <w:t>Đã thiết lập khung báo cáo tiến độ, tài liệu kỹ thuật và cấu trúc mã nguồn tái lập.</w:t>
            </w:r>
          </w:p>
        </w:tc>
      </w:tr>
    </w:tbl>
    <w:p>
      <w:pPr>
        <w:spacing w:before="240"/>
      </w:pPr>
      <w:r>
        <w:rPr>
          <w:b/>
          <w:color w:val="003366"/>
          <w:sz w:val="26"/>
        </w:rPr>
        <w:t>5. KẾ HOẠCH TRIỂN KHAI TRONG GIAI ĐOẠN TIẾP THEO (PHASE 3 - P3)</w:t>
      </w:r>
    </w:p>
    <w:p>
      <w:r>
        <w:rPr>
          <w:i w:val="0"/>
        </w:rPr>
        <w:t xml:space="preserve">Ngay sau khi được Giảng viên hướng dẫn thông qua kết quả Giai đoạn 2, nhóm nghiên cứu sẽ tiến hành ngay </w:t>
      </w:r>
      <w:r>
        <w:rPr>
          <w:b/>
        </w:rPr>
        <w:t>Phase 3: Quản lý Dữ liệu, Xây dựng Manifest và Phân chia Tập độc lập</w:t>
      </w:r>
      <w:r>
        <w:t xml:space="preserve"> theo các bước trọng tâm:</w:t>
        <w:br/>
      </w:r>
      <w:r>
        <w:rPr>
          <w:b/>
        </w:rPr>
        <w:t xml:space="preserve">1. </w:t>
      </w:r>
      <w:r>
        <w:t xml:space="preserve">Tải toàn bộ bộ dữ liệu công khai ISIC: </w:t>
      </w:r>
      <w:r>
        <w:t>ISIC 2018 Task 1 (ảnh và mask phân đoạn, ~14 GB) và ISIC 2017 Task 3 (ảnh và nhãn 3 nhóm bệnh, ~13 GB).</w:t>
        <w:br/>
      </w:r>
      <w:r>
        <w:rPr>
          <w:b/>
        </w:rPr>
        <w:t xml:space="preserve">2. </w:t>
      </w:r>
      <w:r>
        <w:t xml:space="preserve">Kiểm định chất lượng ảnh: </w:t>
      </w:r>
      <w:r>
        <w:t>Rà soát ảnh lỗi, ảnh hỏng, kiểm tra tính tương thích giữa ảnh gốc và mask nhị phân.</w:t>
        <w:br/>
      </w:r>
      <w:r>
        <w:rPr>
          <w:b/>
        </w:rPr>
        <w:t xml:space="preserve">3. </w:t>
      </w:r>
      <w:r>
        <w:t xml:space="preserve">Phân chia tập (Split) chống rò rỉ dữ liệu: </w:t>
      </w:r>
      <w:r>
        <w:t>Thực hiện phân chia Train / Validation / Test nghiêm ngặt theo mã định danh bệnh nhân (patient_id / lesion_id). Đảm bảo một bệnh nhân không đồng thời xuất hiện ở cả tập huấn luyện và kiểm thử (data leakage = 0).</w:t>
        <w:br/>
      </w:r>
      <w:r>
        <w:rPr>
          <w:b/>
        </w:rPr>
        <w:t xml:space="preserve">4. </w:t>
      </w:r>
      <w:r>
        <w:t xml:space="preserve">Khóa cố định Manifest và mã băm SHA-256: </w:t>
      </w:r>
      <w:r>
        <w:t>Sinh tệp manifest.csv và lưu trữ hash nhằm bảo đảm tính tái lập khoa học tuyệt đối theo khuyến nghị CLAIM trong nghiên cứu trí tuệ nhân tạo y khoa.</w:t>
      </w:r>
    </w:p>
    <w:p>
      <w:pPr>
        <w:spacing w:before="240"/>
      </w:pPr>
      <w:r>
        <w:rPr>
          <w:b/>
          <w:color w:val="003366"/>
          <w:sz w:val="26"/>
        </w:rPr>
        <w:t>6. KẾT LUẬN &amp; ĐỀ XUẤT CỦA NHÓM NGHIÊN CỨU</w:t>
      </w:r>
    </w:p>
    <w:p>
      <w:r>
        <w:t>Giai đoạn 2 đã kết thúc thành công với toàn bộ các tiêu chí kỹ thuật đều đạt và vượt yêu cầu. Hạ tầng tính toán cục bộ (Local GPU) đã chứng minh khả năng đáp ứng tốt các tác vụ suy luận và huấn luyện tiếp theo mà không bị quá tải phần cứng.</w:t>
        <w:br/>
        <w:br/>
      </w:r>
      <w:r>
        <w:t>Nhóm kính đề nghị Giảng viên hướng dẫn xem xét, góp ý và phê duyệt kết quả Giai đoạn 2 để nhóm chính thức bắt đầu công tác tải và xử lý dữ liệu ở Giai đoạn 3.</w:t>
      </w:r>
    </w:p>
    <w:p>
      <w:pPr>
        <w:spacing w:before="480"/>
      </w:pPr>
    </w:p>
    <w:tbl>
      <w:tblPr>
        <w:tblW w:type="auto" w:w="0"/>
        <w:jc w:val="center"/>
        <w:tblLook w:firstColumn="1" w:firstRow="1" w:lastColumn="0" w:lastRow="0" w:noHBand="0" w:noVBand="1" w:val="04A0"/>
      </w:tblPr>
      <w:tblGrid>
        <w:gridCol w:w="4701"/>
        <w:gridCol w:w="4701"/>
      </w:tblGrid>
      <w:tr>
        <w:tc>
          <w:tcPr>
            <w:tcW w:type="dxa" w:w="4701"/>
          </w:tcPr>
          <w:p>
            <w:pPr>
              <w:jc w:val="center"/>
            </w:pPr>
            <w:r>
              <w:rPr>
                <w:b/>
              </w:rPr>
              <w:t>GIẢNG VIÊN HƯỚNG DẪN</w:t>
              <w:br/>
            </w:r>
            <w:r>
              <w:t>(Ký và ghi rõ họ tên)</w:t>
              <w:br/>
              <w:br/>
              <w:br/>
              <w:br/>
              <w:br/>
            </w:r>
            <w:r>
              <w:t>[Họ và tên giảng viên]</w:t>
            </w:r>
          </w:p>
        </w:tc>
        <w:tc>
          <w:tcPr>
            <w:tcW w:type="dxa" w:w="4701"/>
          </w:tcPr>
          <w:p>
            <w:pPr>
              <w:jc w:val="center"/>
            </w:pPr>
            <w:r>
              <w:rPr>
                <w:i/>
              </w:rPr>
              <w:t>Hà Nội, ngày 09 tháng 10 năm 2026</w:t>
              <w:br/>
            </w:r>
            <w:r>
              <w:rPr>
                <w:b/>
              </w:rPr>
              <w:t>ĐẠI DIỆN NHÓM SINH VIÊN</w:t>
              <w:br/>
            </w:r>
            <w:r>
              <w:t>(Ký và ghi rõ họ tên)</w:t>
              <w:br/>
              <w:br/>
              <w:br/>
              <w:br/>
              <w:br/>
            </w:r>
            <w:r>
              <w:t>[Họ và tên sinh viên]</w:t>
            </w: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