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5E2CA5"/>
          <w:sz w:val="44"/>
        </w:rPr>
        <w:t>CNRL Open House 2026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333333"/>
          <w:sz w:val="22"/>
        </w:rPr>
        <w:t>Chiari Malformation, CSF Dynamics &amp; Neurobiomechanics Research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1A1A1A"/>
          <w:sz w:val="20"/>
        </w:rPr>
        <w:t>Saturday, August 8, 2026  ·  8:00 AM – 4:35 PM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333333"/>
          <w:sz w:val="19"/>
        </w:rPr>
        <w:t>ISEC · Northeastern University · 805 Columbus Ave, Boston, MA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FFFFFF"/>
          <w:sz w:val="17"/>
          <w:shd w:val="clear" w:color="auto" w:fill="5E2CA5"/>
        </w:rPr>
        <w:t xml:space="preserve">  FINAL PROGRAM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1814"/>
            <w:shd w:val="clear" w:color="auto" w:fill="5E2CA5"/>
            <w:tcBorders>
              <w:top w:val="single" w:sz="4" w:color="5E2CA5"/>
              <w:left w:val="single" w:sz="4" w:color="5E2CA5"/>
              <w:bottom w:val="single" w:sz="4" w:color="5E2CA5"/>
              <w:right w:val="single" w:sz="4" w:color="5E2CA5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8504"/>
            <w:shd w:val="clear" w:color="auto" w:fill="5E2CA5"/>
            <w:tcBorders>
              <w:top w:val="single" w:sz="4" w:color="5E2CA5"/>
              <w:left w:val="single" w:sz="4" w:color="5E2CA5"/>
              <w:bottom w:val="single" w:sz="4" w:color="5E2CA5"/>
              <w:right w:val="single" w:sz="4" w:color="5E2CA5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Session &amp; Talks</w:t>
            </w:r>
          </w:p>
        </w:tc>
      </w:tr>
      <w:tr>
        <w:tc>
          <w:tcPr>
            <w:tcW w:type="dxa" w:w="181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8:00 – 8:30 AM</w:t>
            </w:r>
          </w:p>
        </w:tc>
        <w:tc>
          <w:tcPr>
            <w:tcW w:type="dxa" w:w="850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C4A0E8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2"/>
              </w:rPr>
              <w:t>Demos &amp; Posters  (coffee &amp; tea)</w:t>
            </w:r>
          </w:p>
        </w:tc>
      </w:tr>
      <w:tr>
        <w:tc>
          <w:tcPr>
            <w:tcW w:type="dxa" w:w="1814"/>
            <w:shd w:val="clear" w:color="auto" w:fill="FFFFFF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vAlign w:val="top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8:40 – 10:00 AM</w:t>
            </w:r>
          </w:p>
        </w:tc>
        <w:tc>
          <w:tcPr>
            <w:tcW w:type="dxa" w:w="8504"/>
            <w:shd w:val="clear" w:color="auto" w:fill="FFFFFF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5E2CA5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4"/>
              </w:rPr>
              <w:t>Research Session 1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Dorothy Poppe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Program Introduction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Ekkehard Kasper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Surgical Management of Chiari Malformation: Approaches, Techniques, and Pitfalls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John Oshinski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Brain Motion and CSF Flow in Subjects with CMI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Jonathan Millard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Thinking Geometrically about Chiari Malformation Measurements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George Mattis and Matthew Bloom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MyChiari App: Symptom Tracking Tool that Accounts for Environmental Factors</w:t>
            </w:r>
          </w:p>
        </w:tc>
      </w:tr>
      <w:tr>
        <w:tc>
          <w:tcPr>
            <w:tcW w:type="dxa" w:w="181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10:00 – 11:00 AM</w:t>
            </w:r>
          </w:p>
        </w:tc>
        <w:tc>
          <w:tcPr>
            <w:tcW w:type="dxa" w:w="850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C4A0E8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2"/>
              </w:rPr>
              <w:t>Demos &amp; Posters  (coffee &amp; tea)</w:t>
            </w:r>
          </w:p>
        </w:tc>
      </w:tr>
      <w:tr>
        <w:tc>
          <w:tcPr>
            <w:tcW w:type="dxa" w:w="1814"/>
            <w:shd w:val="clear" w:color="auto" w:fill="F5F2F8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vAlign w:val="top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11:00 AM – 12:00 PM</w:t>
            </w:r>
          </w:p>
        </w:tc>
        <w:tc>
          <w:tcPr>
            <w:tcW w:type="dxa" w:w="8504"/>
            <w:shd w:val="clear" w:color="auto" w:fill="F5F2F8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5E2CA5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4"/>
              </w:rPr>
              <w:t>Research Session 2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Konstantina Svokos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Chiari Malformation Across the Lifespan — Developmental Anomaly or Progressive Disorder? Understanding Age-Dependent Pathology and Phenotypes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Petra Klinge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Chiari Malformation: Inside and Outside the Dura — Clinical and Pathological Perspectives on Intra- and Extradural Pathologies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Chiara Bellini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Working Under Pressure: From Cardiovascular to Neural Health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Kristopher Kahle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Chiari I Genomics</w:t>
            </w:r>
          </w:p>
        </w:tc>
      </w:tr>
      <w:tr>
        <w:tc>
          <w:tcPr>
            <w:tcW w:type="dxa" w:w="181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12:00 – 1:00 PM</w:t>
            </w:r>
          </w:p>
        </w:tc>
        <w:tc>
          <w:tcPr>
            <w:tcW w:type="dxa" w:w="850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C4A0E8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2"/>
              </w:rPr>
              <w:t>Lunch  ·  Demos / Posters</w:t>
            </w:r>
          </w:p>
        </w:tc>
      </w:tr>
      <w:tr>
        <w:tc>
          <w:tcPr>
            <w:tcW w:type="dxa" w:w="1814"/>
            <w:shd w:val="clear" w:color="auto" w:fill="FFFFFF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vAlign w:val="top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1:00 – 2:00 PM</w:t>
            </w:r>
          </w:p>
        </w:tc>
        <w:tc>
          <w:tcPr>
            <w:tcW w:type="dxa" w:w="8504"/>
            <w:shd w:val="clear" w:color="auto" w:fill="FFFFFF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5E2CA5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4"/>
              </w:rPr>
              <w:t>Research Session 3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Yingzi Lin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Novel Objective Pain Assessment Tools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Babak Heydari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When Networks Shape What We Fear: Risk Perception from Pandemics to the Operating Room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Philip Allen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Effect of Pain Catastrophizing on the Relationship between Pain and Disability in Chiari Type I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James Houston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Neural Microstructure Associates of Cognitive and Pain Symptomatology in Chiari Malformation Type I</w:t>
            </w:r>
          </w:p>
        </w:tc>
      </w:tr>
      <w:tr>
        <w:tc>
          <w:tcPr>
            <w:tcW w:type="dxa" w:w="1814"/>
            <w:shd w:val="clear" w:color="auto" w:fill="FAF0FF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vAlign w:val="top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2:00 – 3:20 PM</w:t>
            </w:r>
          </w:p>
        </w:tc>
        <w:tc>
          <w:tcPr>
            <w:tcW w:type="dxa" w:w="8504"/>
            <w:shd w:val="clear" w:color="auto" w:fill="FAF0FF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9B59C0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4"/>
              </w:rPr>
              <w:t>Patient Experience Talks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Hannah Higgins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Emily Stutheit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Matthew Bloom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Victoria Wyma</w:t>
            </w:r>
          </w:p>
        </w:tc>
      </w:tr>
      <w:tr>
        <w:tc>
          <w:tcPr>
            <w:tcW w:type="dxa" w:w="181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3:20 – 3:40 PM</w:t>
            </w:r>
          </w:p>
        </w:tc>
        <w:tc>
          <w:tcPr>
            <w:tcW w:type="dxa" w:w="850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C4A0E8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2"/>
              </w:rPr>
              <w:t>Demos &amp; Posters  (coffee &amp; tea)</w:t>
            </w:r>
          </w:p>
        </w:tc>
      </w:tr>
      <w:tr>
        <w:tc>
          <w:tcPr>
            <w:tcW w:type="dxa" w:w="1814"/>
            <w:shd w:val="clear" w:color="auto" w:fill="F5F2F8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vAlign w:val="top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3:40 – 4:25 PM</w:t>
            </w:r>
          </w:p>
        </w:tc>
        <w:tc>
          <w:tcPr>
            <w:tcW w:type="dxa" w:w="8504"/>
            <w:shd w:val="clear" w:color="auto" w:fill="F5F2F8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5E2CA5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4"/>
              </w:rPr>
              <w:t>Research Session 4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Paolo Bolognese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Complex Chiari and NeuroEDS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Rafeeque Bhadelia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Real-Time CSF Flow Imaging in Chiari I Malformation: A New Frontier</w:t>
            </w:r>
          </w:p>
          <w:p>
            <w:pPr>
              <w:spacing w:before="0" w:after="20" w:line="252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Francis Loth</w:t>
            </w: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 xml:space="preserve">  — 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Biomechanical Report: Analysis and Imaging at Northeastern (BRAIN)</w:t>
            </w:r>
          </w:p>
        </w:tc>
      </w:tr>
      <w:tr>
        <w:tc>
          <w:tcPr>
            <w:tcW w:type="dxa" w:w="181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4:25 – 4:35 PM</w:t>
            </w:r>
          </w:p>
        </w:tc>
        <w:tc>
          <w:tcPr>
            <w:tcW w:type="dxa" w:w="8504"/>
            <w:shd w:val="clear" w:color="auto" w:fill="EDE0F7"/>
            <w:tcMar>
              <w:top w:w="30" w:type="dxa"/>
              <w:bottom w:w="30" w:type="dxa"/>
              <w:left w:w="90" w:type="dxa"/>
              <w:right w:w="90" w:type="dxa"/>
            </w:tcMar>
            <w:tcBorders>
              <w:top w:val="single" w:sz="4" w:color="E0E0E0"/>
              <w:bottom w:val="single" w:sz="4" w:color="E0E0E0"/>
              <w:right w:val="single" w:sz="4" w:color="E0E0E0"/>
              <w:left w:val="single" w:sz="20" w:color="5E2CA5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5E2CA5"/>
                <w:sz w:val="22"/>
              </w:rPr>
              <w:t>Closing Remarks</w:t>
            </w:r>
          </w:p>
        </w:tc>
      </w:tr>
    </w:tbl>
    <w:p>
      <w:pPr>
        <w:spacing w:before="80" w:after="0"/>
        <w:jc w:val="center"/>
      </w:pPr>
      <w:r>
        <w:rPr>
          <w:rFonts w:ascii="Calibri" w:hAnsi="Calibri"/>
          <w:b w:val="0"/>
          <w:i w:val="0"/>
          <w:color w:val="333333"/>
          <w:sz w:val="17"/>
        </w:rPr>
        <w:t xml:space="preserve">Sponsored by the </w:t>
      </w:r>
      <w:r>
        <w:rPr>
          <w:rFonts w:ascii="Calibri" w:hAnsi="Calibri"/>
          <w:b/>
          <w:i w:val="0"/>
          <w:color w:val="5E2CA5"/>
          <w:sz w:val="17"/>
        </w:rPr>
        <w:t>Bobby Jones Chiari &amp; Syringomyelia Foundation</w:t>
      </w:r>
    </w:p>
    <w:p>
      <w:pPr>
        <w:spacing w:before="0"/>
        <w:jc w:val="center"/>
      </w:pPr>
      <w:r>
        <w:rPr>
          <w:rFonts w:ascii="Calibri" w:hAnsi="Calibri"/>
          <w:b w:val="0"/>
          <w:i/>
          <w:color w:val="666666"/>
          <w:sz w:val="16"/>
        </w:rPr>
        <w:t>All talks will be video recorded and freely available on the Bobby Jones CSF website at a later date.</w:t>
      </w:r>
    </w:p>
    <w:sectPr w:rsidR="00FC693F" w:rsidRPr="0006063C" w:rsidSect="00034616"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