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Hypothesis 3 - Effect of Positive Emotion on Working-Memory Performance</w:t>
      </w:r>
    </w:p>
    <w:p>
      <w:pPr>
        <w:jc w:val="center"/>
      </w:pPr>
      <w:r>
        <w:t>Confirmatory Hypothesis Report</w:t>
      </w:r>
    </w:p>
    <w:p>
      <w:pPr>
        <w:pStyle w:val="Heading1"/>
      </w:pPr>
      <w:r>
        <w:t>Hypothesis</w:t>
      </w:r>
    </w:p>
    <w:p>
      <w:r>
        <w:t>Positive emotional induction improves working-memory performance relative to neutral and negative emotional conditions.</w:t>
      </w:r>
    </w:p>
    <w:p>
      <w:pPr>
        <w:pStyle w:val="Heading1"/>
      </w:pPr>
      <w:r>
        <w:t>Method</w:t>
      </w:r>
    </w:p>
    <w:p>
      <w:r>
        <w:t>A confirmatory trial-level analysis was conducted to determine whether positive emotional induction improved working-memory performance relative to neutral and negative emotional conditions. The analytical sample included 23 participants.</w:t>
      </w:r>
    </w:p>
    <w:p>
      <w:r>
        <w:t>The primary outcomes were response accuracy and reaction time. Accuracy was analyzed using generalized estimating equation (GEE) models with a binomial distribution, logit link, exchangeable within-participant correlation structure, and robust standard errors. Two planned contrasts were evaluated: Positive versus Neutral and Positive versus Negative. The accuracy analysis included 17,820 trial-level observations.</w:t>
      </w:r>
    </w:p>
    <w:p>
      <w:r>
        <w:t>Reaction time was analyzed among valid correct-response trials only. Because reaction-time data were positively skewed, reaction time was log-transformed prior to modeling. Linear mixed-effects models were fitted with emotional condition as a fixed effect and a participant-specific random intercept. The reaction-time analysis included 14,184 observations.</w:t>
      </w:r>
    </w:p>
    <w:p>
      <w:r>
        <w:t>GEE coefficients were exponentiated and interpreted as odds ratios. Log reaction-time coefficients were exponentiated and converted to percentage changes. Inverse efficiency scores were examined as a secondary indicator of combined speed and accuracy. Statistical significance was evaluated using a two-sided alpha level of .05, with 95% confidence intervals reported.</w:t>
      </w:r>
    </w:p>
    <w:p>
      <w:pPr>
        <w:pStyle w:val="Heading1"/>
      </w:pPr>
      <w:r>
        <w:t>Results</w:t>
      </w:r>
    </w:p>
    <w:p>
      <w:pPr>
        <w:pStyle w:val="Heading2"/>
      </w:pPr>
      <w:r>
        <w:t>Accuracy</w:t>
      </w:r>
    </w:p>
    <w:p>
      <w:r>
        <w:t>Mean trial-level accuracy was 85.1% in the positive condition, 85.0% in the neutral condition, and 83.8% in the negative condition.</w:t>
      </w:r>
    </w:p>
    <w:p>
      <w:r>
        <w:t>Positive emotion did not significantly improve accuracy relative to the neutral condition (OR = 1.002, 95% CI [0.90, 1.12], p = .979).</w:t>
      </w:r>
    </w:p>
    <w:p>
      <w:r>
        <w:t>Accuracy was descriptively higher under positive than negative emotion, but this difference was not statistically significant (OR = 1.089, 95% CI [0.97, 1.22], p = .137).</w:t>
      </w:r>
    </w:p>
    <w:p>
      <w:r>
        <w:t>Thus, the accuracy analyses did not provide evidence that positive emotional induction improved the probability of producing a correct response relative to either comparator.</w:t>
      </w:r>
    </w:p>
    <w:p>
      <w:r>
        <w:t>Table 1. Descriptive accuracy across emotional conditions.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Trials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SD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Median</w:t>
            </w:r>
          </w:p>
        </w:tc>
      </w:tr>
      <w:tr>
        <w:tc>
          <w:tcPr>
            <w:tcW w:type="dxa" w:w="1378"/>
            <w:vAlign w:val="center"/>
          </w:tcPr>
          <w:p>
            <w:r>
              <w:t>Negative</w:t>
            </w:r>
          </w:p>
        </w:tc>
        <w:tc>
          <w:tcPr>
            <w:tcW w:type="dxa" w:w="1378"/>
            <w:vAlign w:val="center"/>
          </w:tcPr>
          <w:p>
            <w:r>
              <w:t>22</w:t>
            </w:r>
          </w:p>
        </w:tc>
        <w:tc>
          <w:tcPr>
            <w:tcW w:type="dxa" w:w="1378"/>
            <w:vAlign w:val="center"/>
          </w:tcPr>
          <w:p>
            <w:r>
              <w:t>5940</w:t>
            </w:r>
          </w:p>
        </w:tc>
        <w:tc>
          <w:tcPr>
            <w:tcW w:type="dxa" w:w="1378"/>
            <w:vAlign w:val="center"/>
          </w:tcPr>
          <w:p>
            <w:r>
              <w:t>4978</w:t>
            </w:r>
          </w:p>
        </w:tc>
        <w:tc>
          <w:tcPr>
            <w:tcW w:type="dxa" w:w="1378"/>
            <w:vAlign w:val="center"/>
          </w:tcPr>
          <w:p>
            <w:r>
              <w:t>83.8%</w:t>
            </w:r>
          </w:p>
        </w:tc>
        <w:tc>
          <w:tcPr>
            <w:tcW w:type="dxa" w:w="1378"/>
            <w:vAlign w:val="center"/>
          </w:tcPr>
          <w:p>
            <w:r>
              <w:t>0.368</w:t>
            </w:r>
          </w:p>
        </w:tc>
        <w:tc>
          <w:tcPr>
            <w:tcW w:type="dxa" w:w="1378"/>
            <w:vAlign w:val="center"/>
          </w:tcPr>
          <w:p>
            <w:r>
              <w:t>1.0</w:t>
            </w:r>
          </w:p>
        </w:tc>
      </w:tr>
      <w:tr>
        <w:tc>
          <w:tcPr>
            <w:tcW w:type="dxa" w:w="1378"/>
            <w:vAlign w:val="center"/>
          </w:tcPr>
          <w:p>
            <w:r>
              <w:t>Neutral</w:t>
            </w:r>
          </w:p>
        </w:tc>
        <w:tc>
          <w:tcPr>
            <w:tcW w:type="dxa" w:w="1378"/>
            <w:vAlign w:val="center"/>
          </w:tcPr>
          <w:p>
            <w:r>
              <w:t>23</w:t>
            </w:r>
          </w:p>
        </w:tc>
        <w:tc>
          <w:tcPr>
            <w:tcW w:type="dxa" w:w="1378"/>
            <w:vAlign w:val="center"/>
          </w:tcPr>
          <w:p>
            <w:r>
              <w:t>5940</w:t>
            </w:r>
          </w:p>
        </w:tc>
        <w:tc>
          <w:tcPr>
            <w:tcW w:type="dxa" w:w="1378"/>
            <w:vAlign w:val="center"/>
          </w:tcPr>
          <w:p>
            <w:r>
              <w:t>5049</w:t>
            </w:r>
          </w:p>
        </w:tc>
        <w:tc>
          <w:tcPr>
            <w:tcW w:type="dxa" w:w="1378"/>
            <w:vAlign w:val="center"/>
          </w:tcPr>
          <w:p>
            <w:r>
              <w:t>85.0%</w:t>
            </w:r>
          </w:p>
        </w:tc>
        <w:tc>
          <w:tcPr>
            <w:tcW w:type="dxa" w:w="1378"/>
            <w:vAlign w:val="center"/>
          </w:tcPr>
          <w:p>
            <w:r>
              <w:t>0.357</w:t>
            </w:r>
          </w:p>
        </w:tc>
        <w:tc>
          <w:tcPr>
            <w:tcW w:type="dxa" w:w="1378"/>
            <w:vAlign w:val="center"/>
          </w:tcPr>
          <w:p>
            <w:r>
              <w:t>1.0</w:t>
            </w:r>
          </w:p>
        </w:tc>
      </w:tr>
      <w:tr>
        <w:tc>
          <w:tcPr>
            <w:tcW w:type="dxa" w:w="1378"/>
            <w:vAlign w:val="center"/>
          </w:tcPr>
          <w:p>
            <w:r>
              <w:t>Positive</w:t>
            </w:r>
          </w:p>
        </w:tc>
        <w:tc>
          <w:tcPr>
            <w:tcW w:type="dxa" w:w="1378"/>
            <w:vAlign w:val="center"/>
          </w:tcPr>
          <w:p>
            <w:r>
              <w:t>22</w:t>
            </w:r>
          </w:p>
        </w:tc>
        <w:tc>
          <w:tcPr>
            <w:tcW w:type="dxa" w:w="1378"/>
            <w:vAlign w:val="center"/>
          </w:tcPr>
          <w:p>
            <w:r>
              <w:t>5940</w:t>
            </w:r>
          </w:p>
        </w:tc>
        <w:tc>
          <w:tcPr>
            <w:tcW w:type="dxa" w:w="1378"/>
            <w:vAlign w:val="center"/>
          </w:tcPr>
          <w:p>
            <w:r>
              <w:t>5055</w:t>
            </w:r>
          </w:p>
        </w:tc>
        <w:tc>
          <w:tcPr>
            <w:tcW w:type="dxa" w:w="1378"/>
            <w:vAlign w:val="center"/>
          </w:tcPr>
          <w:p>
            <w:r>
              <w:t>85.1%</w:t>
            </w:r>
          </w:p>
        </w:tc>
        <w:tc>
          <w:tcPr>
            <w:tcW w:type="dxa" w:w="1378"/>
            <w:vAlign w:val="center"/>
          </w:tcPr>
          <w:p>
            <w:r>
              <w:t>0.356</w:t>
            </w:r>
          </w:p>
        </w:tc>
        <w:tc>
          <w:tcPr>
            <w:tcW w:type="dxa" w:w="1378"/>
            <w:vAlign w:val="center"/>
          </w:tcPr>
          <w:p>
            <w:r>
              <w:t>1.0</w:t>
            </w:r>
          </w:p>
        </w:tc>
      </w:tr>
    </w:tbl>
    <w:p/>
    <w:p>
      <w:r>
        <w:t>Table 2. Planned GEE contrasts for response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</w:tcPr>
          <w:p>
            <w:r>
              <w:rPr>
                <w:b/>
              </w:rPr>
              <w:t>Contrast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Beta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OR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930"/>
            <w:vAlign w:val="center"/>
          </w:tcPr>
          <w:p>
            <w:r>
              <w:t>Positive vs Neutral</w:t>
            </w:r>
          </w:p>
        </w:tc>
        <w:tc>
          <w:tcPr>
            <w:tcW w:type="dxa" w:w="1930"/>
            <w:vAlign w:val="center"/>
          </w:tcPr>
          <w:p>
            <w:r>
              <w:t>0.002</w:t>
            </w:r>
          </w:p>
        </w:tc>
        <w:tc>
          <w:tcPr>
            <w:tcW w:type="dxa" w:w="1930"/>
            <w:vAlign w:val="center"/>
          </w:tcPr>
          <w:p>
            <w:r>
              <w:t>1.002</w:t>
            </w:r>
          </w:p>
        </w:tc>
        <w:tc>
          <w:tcPr>
            <w:tcW w:type="dxa" w:w="1930"/>
            <w:vAlign w:val="center"/>
          </w:tcPr>
          <w:p>
            <w:r>
              <w:t>[0.90, 1.12]</w:t>
            </w:r>
          </w:p>
        </w:tc>
        <w:tc>
          <w:tcPr>
            <w:tcW w:type="dxa" w:w="1930"/>
            <w:vAlign w:val="center"/>
          </w:tcPr>
          <w:p>
            <w:r>
              <w:t>= .979</w:t>
            </w:r>
          </w:p>
        </w:tc>
      </w:tr>
      <w:tr>
        <w:tc>
          <w:tcPr>
            <w:tcW w:type="dxa" w:w="1930"/>
            <w:vAlign w:val="center"/>
          </w:tcPr>
          <w:p>
            <w:r>
              <w:t>Positive vs Negative</w:t>
            </w:r>
          </w:p>
        </w:tc>
        <w:tc>
          <w:tcPr>
            <w:tcW w:type="dxa" w:w="1930"/>
            <w:vAlign w:val="center"/>
          </w:tcPr>
          <w:p>
            <w:r>
              <w:t>0.086</w:t>
            </w:r>
          </w:p>
        </w:tc>
        <w:tc>
          <w:tcPr>
            <w:tcW w:type="dxa" w:w="1930"/>
            <w:vAlign w:val="center"/>
          </w:tcPr>
          <w:p>
            <w:r>
              <w:t>1.089</w:t>
            </w:r>
          </w:p>
        </w:tc>
        <w:tc>
          <w:tcPr>
            <w:tcW w:type="dxa" w:w="1930"/>
            <w:vAlign w:val="center"/>
          </w:tcPr>
          <w:p>
            <w:r>
              <w:t>[0.97, 1.22]</w:t>
            </w:r>
          </w:p>
        </w:tc>
        <w:tc>
          <w:tcPr>
            <w:tcW w:type="dxa" w:w="1930"/>
            <w:vAlign w:val="center"/>
          </w:tcPr>
          <w:p>
            <w:r>
              <w:t>= .137</w:t>
            </w:r>
          </w:p>
        </w:tc>
      </w:tr>
    </w:tbl>
    <w:p/>
    <w:p>
      <w:pPr>
        <w:pStyle w:val="Heading2"/>
      </w:pPr>
      <w:r>
        <w:t>Reaction Time</w:t>
      </w:r>
    </w:p>
    <w:p>
      <w:r>
        <w:t>Positive emotion was associated with a substantial reduction in reaction time relative to the neutral condition.</w:t>
      </w:r>
    </w:p>
    <w:p>
      <w:r>
        <w:t>Compared with neutral emotion, positive emotion was associated with a significantly lower log reaction time (beta = -0.285, SE = 0.015, z = -18.60, p &lt; .001). After back-transformation, this corresponded to an estimated 24.8% reduction in reaction time.</w:t>
      </w:r>
    </w:p>
    <w:p>
      <w:r>
        <w:t>By contrast, reaction time under positive emotion did not significantly differ from reaction time under negative emotion (beta = -0.020, SE = 0.016, z = -1.31, p = .190). The estimated difference was only 2.0%.</w:t>
      </w:r>
    </w:p>
    <w:p>
      <w:r>
        <w:t>Therefore, positive emotional induction was associated with faster responding relative to the neutral condition, but it did not confer a significant reaction-time advantage over negative emotion.</w:t>
      </w:r>
    </w:p>
    <w:p>
      <w:r>
        <w:t>Table 3. Descriptive reaction time across emotional conditions.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Trials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Mean RT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SD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Median RT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Mean log RT</w:t>
            </w:r>
          </w:p>
        </w:tc>
      </w:tr>
      <w:tr>
        <w:tc>
          <w:tcPr>
            <w:tcW w:type="dxa" w:w="1378"/>
            <w:vAlign w:val="center"/>
          </w:tcPr>
          <w:p>
            <w:r>
              <w:t>Negative</w:t>
            </w:r>
          </w:p>
        </w:tc>
        <w:tc>
          <w:tcPr>
            <w:tcW w:type="dxa" w:w="1378"/>
            <w:vAlign w:val="center"/>
          </w:tcPr>
          <w:p>
            <w:r>
              <w:t>22</w:t>
            </w:r>
          </w:p>
        </w:tc>
        <w:tc>
          <w:tcPr>
            <w:tcW w:type="dxa" w:w="1378"/>
            <w:vAlign w:val="center"/>
          </w:tcPr>
          <w:p>
            <w:r>
              <w:t>4704</w:t>
            </w:r>
          </w:p>
        </w:tc>
        <w:tc>
          <w:tcPr>
            <w:tcW w:type="dxa" w:w="1378"/>
            <w:vAlign w:val="center"/>
          </w:tcPr>
          <w:p>
            <w:r>
              <w:t>740.25</w:t>
            </w:r>
          </w:p>
        </w:tc>
        <w:tc>
          <w:tcPr>
            <w:tcW w:type="dxa" w:w="1378"/>
            <w:vAlign w:val="center"/>
          </w:tcPr>
          <w:p>
            <w:r>
              <w:t>744.23</w:t>
            </w:r>
          </w:p>
        </w:tc>
        <w:tc>
          <w:tcPr>
            <w:tcW w:type="dxa" w:w="1378"/>
            <w:vAlign w:val="center"/>
          </w:tcPr>
          <w:p>
            <w:r>
              <w:t>433.50</w:t>
            </w:r>
          </w:p>
        </w:tc>
        <w:tc>
          <w:tcPr>
            <w:tcW w:type="dxa" w:w="1378"/>
            <w:vAlign w:val="center"/>
          </w:tcPr>
          <w:p>
            <w:r>
              <w:t>6.25</w:t>
            </w:r>
          </w:p>
        </w:tc>
      </w:tr>
      <w:tr>
        <w:tc>
          <w:tcPr>
            <w:tcW w:type="dxa" w:w="1378"/>
            <w:vAlign w:val="center"/>
          </w:tcPr>
          <w:p>
            <w:r>
              <w:t>Neutral</w:t>
            </w:r>
          </w:p>
        </w:tc>
        <w:tc>
          <w:tcPr>
            <w:tcW w:type="dxa" w:w="1378"/>
            <w:vAlign w:val="center"/>
          </w:tcPr>
          <w:p>
            <w:r>
              <w:t>23</w:t>
            </w:r>
          </w:p>
        </w:tc>
        <w:tc>
          <w:tcPr>
            <w:tcW w:type="dxa" w:w="1378"/>
            <w:vAlign w:val="center"/>
          </w:tcPr>
          <w:p>
            <w:r>
              <w:t>4829</w:t>
            </w:r>
          </w:p>
        </w:tc>
        <w:tc>
          <w:tcPr>
            <w:tcW w:type="dxa" w:w="1378"/>
            <w:vAlign w:val="center"/>
          </w:tcPr>
          <w:p>
            <w:r>
              <w:t>966.58</w:t>
            </w:r>
          </w:p>
        </w:tc>
        <w:tc>
          <w:tcPr>
            <w:tcW w:type="dxa" w:w="1378"/>
            <w:vAlign w:val="center"/>
          </w:tcPr>
          <w:p>
            <w:r>
              <w:t>896.36</w:t>
            </w:r>
          </w:p>
        </w:tc>
        <w:tc>
          <w:tcPr>
            <w:tcW w:type="dxa" w:w="1378"/>
            <w:vAlign w:val="center"/>
          </w:tcPr>
          <w:p>
            <w:r>
              <w:t>630.00</w:t>
            </w:r>
          </w:p>
        </w:tc>
        <w:tc>
          <w:tcPr>
            <w:tcW w:type="dxa" w:w="1378"/>
            <w:vAlign w:val="center"/>
          </w:tcPr>
          <w:p>
            <w:r>
              <w:t>6.51</w:t>
            </w:r>
          </w:p>
        </w:tc>
      </w:tr>
      <w:tr>
        <w:tc>
          <w:tcPr>
            <w:tcW w:type="dxa" w:w="1378"/>
            <w:vAlign w:val="center"/>
          </w:tcPr>
          <w:p>
            <w:r>
              <w:t>Positive</w:t>
            </w:r>
          </w:p>
        </w:tc>
        <w:tc>
          <w:tcPr>
            <w:tcW w:type="dxa" w:w="1378"/>
            <w:vAlign w:val="center"/>
          </w:tcPr>
          <w:p>
            <w:r>
              <w:t>22</w:t>
            </w:r>
          </w:p>
        </w:tc>
        <w:tc>
          <w:tcPr>
            <w:tcW w:type="dxa" w:w="1378"/>
            <w:vAlign w:val="center"/>
          </w:tcPr>
          <w:p>
            <w:r>
              <w:t>4651</w:t>
            </w:r>
          </w:p>
        </w:tc>
        <w:tc>
          <w:tcPr>
            <w:tcW w:type="dxa" w:w="1378"/>
            <w:vAlign w:val="center"/>
          </w:tcPr>
          <w:p>
            <w:r>
              <w:t>771.33</w:t>
            </w:r>
          </w:p>
        </w:tc>
        <w:tc>
          <w:tcPr>
            <w:tcW w:type="dxa" w:w="1378"/>
            <w:vAlign w:val="center"/>
          </w:tcPr>
          <w:p>
            <w:r>
              <w:t>808.86</w:t>
            </w:r>
          </w:p>
        </w:tc>
        <w:tc>
          <w:tcPr>
            <w:tcW w:type="dxa" w:w="1378"/>
            <w:vAlign w:val="center"/>
          </w:tcPr>
          <w:p>
            <w:r>
              <w:t>421.00</w:t>
            </w:r>
          </w:p>
        </w:tc>
        <w:tc>
          <w:tcPr>
            <w:tcW w:type="dxa" w:w="1378"/>
            <w:vAlign w:val="center"/>
          </w:tcPr>
          <w:p>
            <w:r>
              <w:t>6.24</w:t>
            </w:r>
          </w:p>
        </w:tc>
      </w:tr>
    </w:tbl>
    <w:p/>
    <w:p>
      <w:r>
        <w:t>Table 4. Planned mixed-effects contrasts for log reaction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</w:tcPr>
          <w:p>
            <w:r>
              <w:rPr>
                <w:b/>
              </w:rPr>
              <w:t>Contrast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Beta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RT change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930"/>
            <w:vAlign w:val="center"/>
          </w:tcPr>
          <w:p>
            <w:r>
              <w:t>Positive vs Neutral</w:t>
            </w:r>
          </w:p>
        </w:tc>
        <w:tc>
          <w:tcPr>
            <w:tcW w:type="dxa" w:w="1930"/>
            <w:vAlign w:val="center"/>
          </w:tcPr>
          <w:p>
            <w:r>
              <w:t>-0.285</w:t>
            </w:r>
          </w:p>
        </w:tc>
        <w:tc>
          <w:tcPr>
            <w:tcW w:type="dxa" w:w="1930"/>
            <w:vAlign w:val="center"/>
          </w:tcPr>
          <w:p>
            <w:r>
              <w:t>-24.8%</w:t>
            </w:r>
          </w:p>
        </w:tc>
        <w:tc>
          <w:tcPr>
            <w:tcW w:type="dxa" w:w="1930"/>
            <w:vAlign w:val="center"/>
          </w:tcPr>
          <w:p>
            <w:r>
              <w:t>[-27.1%, -22.5%]</w:t>
            </w:r>
          </w:p>
        </w:tc>
        <w:tc>
          <w:tcPr>
            <w:tcW w:type="dxa" w:w="1930"/>
            <w:vAlign w:val="center"/>
          </w:tcPr>
          <w:p>
            <w:r>
              <w:t>&lt; .001</w:t>
            </w:r>
          </w:p>
        </w:tc>
      </w:tr>
      <w:tr>
        <w:tc>
          <w:tcPr>
            <w:tcW w:type="dxa" w:w="1930"/>
            <w:vAlign w:val="center"/>
          </w:tcPr>
          <w:p>
            <w:r>
              <w:t>Positive vs Negative</w:t>
            </w:r>
          </w:p>
        </w:tc>
        <w:tc>
          <w:tcPr>
            <w:tcW w:type="dxa" w:w="1930"/>
            <w:vAlign w:val="center"/>
          </w:tcPr>
          <w:p>
            <w:r>
              <w:t>-0.020</w:t>
            </w:r>
          </w:p>
        </w:tc>
        <w:tc>
          <w:tcPr>
            <w:tcW w:type="dxa" w:w="1930"/>
            <w:vAlign w:val="center"/>
          </w:tcPr>
          <w:p>
            <w:r>
              <w:t>-2.0%</w:t>
            </w:r>
          </w:p>
        </w:tc>
        <w:tc>
          <w:tcPr>
            <w:tcW w:type="dxa" w:w="1930"/>
            <w:vAlign w:val="center"/>
          </w:tcPr>
          <w:p>
            <w:r>
              <w:t>[-5.0%, 1.0%]</w:t>
            </w:r>
          </w:p>
        </w:tc>
        <w:tc>
          <w:tcPr>
            <w:tcW w:type="dxa" w:w="1930"/>
            <w:vAlign w:val="center"/>
          </w:tcPr>
          <w:p>
            <w:r>
              <w:t>= .190</w:t>
            </w:r>
          </w:p>
        </w:tc>
      </w:tr>
    </w:tbl>
    <w:p/>
    <w:p>
      <w:pPr>
        <w:pStyle w:val="Heading2"/>
      </w:pPr>
      <w:r>
        <w:t>Processing Efficiency</w:t>
      </w:r>
    </w:p>
    <w:p>
      <w:r>
        <w:t>Inverse efficiency was examined as a secondary measure of combined processing speed and accuracy.</w:t>
      </w:r>
    </w:p>
    <w:p>
      <w:r>
        <w:t>For the Positive versus Neutral comparison, mean IES was 899.42 under positive emotion and 1126.67 under the neutral condition (t = -4.38, p &lt; .001).</w:t>
      </w:r>
    </w:p>
    <w:p>
      <w:r>
        <w:t>For the Positive versus Negative comparison, mean IES was 869.79 under positive emotion and 851.74 under negative emotion (t = 0.21, p = .839).</w:t>
      </w:r>
    </w:p>
    <w:p>
      <w:r>
        <w:t>These secondary analyses should be interpreted alongside the separate accuracy and reaction-time models rather than as replacements for the primary outcomes.</w:t>
      </w:r>
    </w:p>
    <w:p>
      <w:r>
        <w:t>Table 5. Paired inverse-efficiency comparisons.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vAlign w:val="center"/>
          </w:tcPr>
          <w:p>
            <w:r>
              <w:rPr>
                <w:b/>
              </w:rPr>
              <w:t>Contrast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N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Positive IES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Comparator IES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Difference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t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378"/>
            <w:vAlign w:val="center"/>
          </w:tcPr>
          <w:p>
            <w:r>
              <w:t>Positive vs Neutral</w:t>
            </w:r>
          </w:p>
        </w:tc>
        <w:tc>
          <w:tcPr>
            <w:tcW w:type="dxa" w:w="1378"/>
            <w:vAlign w:val="center"/>
          </w:tcPr>
          <w:p>
            <w:r>
              <w:t>22</w:t>
            </w:r>
          </w:p>
        </w:tc>
        <w:tc>
          <w:tcPr>
            <w:tcW w:type="dxa" w:w="1378"/>
            <w:vAlign w:val="center"/>
          </w:tcPr>
          <w:p>
            <w:r>
              <w:t>899.42</w:t>
            </w:r>
          </w:p>
        </w:tc>
        <w:tc>
          <w:tcPr>
            <w:tcW w:type="dxa" w:w="1378"/>
            <w:vAlign w:val="center"/>
          </w:tcPr>
          <w:p>
            <w:r>
              <w:t>1126.67</w:t>
            </w:r>
          </w:p>
        </w:tc>
        <w:tc>
          <w:tcPr>
            <w:tcW w:type="dxa" w:w="1378"/>
            <w:vAlign w:val="center"/>
          </w:tcPr>
          <w:p>
            <w:r>
              <w:t>-227.25</w:t>
            </w:r>
          </w:p>
        </w:tc>
        <w:tc>
          <w:tcPr>
            <w:tcW w:type="dxa" w:w="1378"/>
            <w:vAlign w:val="center"/>
          </w:tcPr>
          <w:p>
            <w:r>
              <w:t>-4.38</w:t>
            </w:r>
          </w:p>
        </w:tc>
        <w:tc>
          <w:tcPr>
            <w:tcW w:type="dxa" w:w="1378"/>
            <w:vAlign w:val="center"/>
          </w:tcPr>
          <w:p>
            <w:r>
              <w:t>&lt; .001</w:t>
            </w:r>
          </w:p>
        </w:tc>
      </w:tr>
      <w:tr>
        <w:tc>
          <w:tcPr>
            <w:tcW w:type="dxa" w:w="1378"/>
            <w:vAlign w:val="center"/>
          </w:tcPr>
          <w:p>
            <w:r>
              <w:t>Positive vs Negative</w:t>
            </w:r>
          </w:p>
        </w:tc>
        <w:tc>
          <w:tcPr>
            <w:tcW w:type="dxa" w:w="1378"/>
            <w:vAlign w:val="center"/>
          </w:tcPr>
          <w:p>
            <w:r>
              <w:t>21</w:t>
            </w:r>
          </w:p>
        </w:tc>
        <w:tc>
          <w:tcPr>
            <w:tcW w:type="dxa" w:w="1378"/>
            <w:vAlign w:val="center"/>
          </w:tcPr>
          <w:p>
            <w:r>
              <w:t>869.79</w:t>
            </w:r>
          </w:p>
        </w:tc>
        <w:tc>
          <w:tcPr>
            <w:tcW w:type="dxa" w:w="1378"/>
            <w:vAlign w:val="center"/>
          </w:tcPr>
          <w:p>
            <w:r>
              <w:t>851.74</w:t>
            </w:r>
          </w:p>
        </w:tc>
        <w:tc>
          <w:tcPr>
            <w:tcW w:type="dxa" w:w="1378"/>
            <w:vAlign w:val="center"/>
          </w:tcPr>
          <w:p>
            <w:r>
              <w:t>18.05</w:t>
            </w:r>
          </w:p>
        </w:tc>
        <w:tc>
          <w:tcPr>
            <w:tcW w:type="dxa" w:w="1378"/>
            <w:vAlign w:val="center"/>
          </w:tcPr>
          <w:p>
            <w:r>
              <w:t>0.21</w:t>
            </w:r>
          </w:p>
        </w:tc>
        <w:tc>
          <w:tcPr>
            <w:tcW w:type="dxa" w:w="1378"/>
            <w:vAlign w:val="center"/>
          </w:tcPr>
          <w:p>
            <w:r>
              <w:t>= .839</w:t>
            </w:r>
          </w:p>
        </w:tc>
      </w:tr>
    </w:tbl>
    <w:p/>
    <w:p>
      <w:pPr>
        <w:pStyle w:val="Heading1"/>
      </w:pPr>
      <w:r>
        <w:t>Decision Rules</w:t>
      </w:r>
    </w:p>
    <w:p>
      <w:pPr>
        <w:pStyle w:val="ListBullet"/>
      </w:pPr>
      <w:r>
        <w:t>H3 is supported if positive emotion improves performance relative to both neutral and negative conditions.</w:t>
      </w:r>
    </w:p>
    <w:p>
      <w:pPr>
        <w:pStyle w:val="ListBullet"/>
      </w:pPr>
      <w:r>
        <w:t>H3 is partially supported if positive emotion improves only one primary outcome or improves performance relative to only one comparator.</w:t>
      </w:r>
    </w:p>
    <w:p>
      <w:pPr>
        <w:pStyle w:val="ListBullet"/>
      </w:pPr>
      <w:r>
        <w:t>H3 is not supported if positive emotion produces no reliable performance advantage relative to either comparator.</w:t>
      </w:r>
    </w:p>
    <w:p>
      <w:pPr>
        <w:pStyle w:val="Heading1"/>
      </w:pPr>
      <w:r>
        <w:t>Interpretation</w:t>
      </w:r>
    </w:p>
    <w:p>
      <w:r>
        <w:t>Hypothesis 3 was partially supported.</w:t>
      </w:r>
    </w:p>
    <w:p>
      <w:r>
        <w:t>Positive emotional induction did not improve response accuracy relative to either the neutral or negative condition.</w:t>
      </w:r>
    </w:p>
    <w:p>
      <w:r>
        <w:t>However, participants responded substantially faster under positive emotion than under the neutral condition, with an estimated reaction-time reduction of 24.8%. This improvement in response speed occurred without a statistically detectable loss of accuracy.</w:t>
      </w:r>
    </w:p>
    <w:p>
      <w:r>
        <w:t>The positive condition did not significantly outperform the negative condition in either accuracy or reaction time. Therefore, the observed facilitation cannot be interpreted as a valence-specific advantage of positive emotion.</w:t>
      </w:r>
    </w:p>
    <w:p>
      <w:r>
        <w:t>Overall, positive emotional induction enhanced processing speed relative to the neutral baseline but did not produce a generalized improvement in working-memory performance across both comparator conditions.</w:t>
      </w:r>
    </w:p>
    <w:p>
      <w:pPr>
        <w:pStyle w:val="Heading1"/>
      </w:pPr>
      <w:r>
        <w:t>Hypothesis Assessment</w:t>
      </w:r>
    </w:p>
    <w:p>
      <w:r>
        <w:t>Conclusion: Hypothesis 3 was partially supported. Positive emotional induction significantly improved response speed relative to the neutral condition, but it did not improve accuracy and did not significantly outperform the negative condition.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