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Hypothesis 4 - Emotional Condition × Cognitive Load on Working-Memory Performance</w:t>
      </w:r>
    </w:p>
    <w:p>
      <w:pPr>
        <w:jc w:val="center"/>
      </w:pPr>
      <w:r>
        <w:t>Confirmatory Hypothesis Report</w:t>
      </w:r>
    </w:p>
    <w:p>
      <w:pPr>
        <w:pStyle w:val="Heading1"/>
      </w:pPr>
      <w:r>
        <w:t>Hypothesis</w:t>
      </w:r>
    </w:p>
    <w:p>
      <w:r>
        <w:t>The effect of emotional condition on working-memory performance varies according to cognitive load across the 1-back, 2-back, 3-back, and 4-back levels.</w:t>
      </w:r>
    </w:p>
    <w:p>
      <w:pPr>
        <w:pStyle w:val="Heading1"/>
      </w:pPr>
      <w:r>
        <w:t>Method</w:t>
      </w:r>
    </w:p>
    <w:p>
      <w:r>
        <w:t>A confirmatory interaction analysis was conducted to evaluate whether the effect of emotional condition on working-memory performance varied as a function of cognitive load. The analytical sample included 23 participants.</w:t>
      </w:r>
    </w:p>
    <w:p>
      <w:r>
        <w:t>Emotional condition comprised Neutral, Positive, and Negative levels, while cognitive load was represented by the 1-back, 2-back, 3-back, and 4-back task levels. The primary inferential term was the interaction between emotional condition and n-back level.</w:t>
      </w:r>
    </w:p>
    <w:p>
      <w:r>
        <w:t>Response accuracy was analyzed using a generalized estimating equation (GEE) model with a binomial distribution, logit link, exchangeable within-participant correlation structure, and robust standard errors. The accuracy analysis included 17,820 trial-level observations.</w:t>
      </w:r>
    </w:p>
    <w:p>
      <w:r>
        <w:t>Reaction time was analyzed among valid correct-response trials. Because reaction-time values were positively skewed, reaction time was log-transformed. A linear mixed-effects model was fitted with emotional condition, n-back level, and their interaction as fixed effects, together with participant-specific random intercepts. The reaction-time analysis included 14,184 observations.</w:t>
      </w:r>
    </w:p>
    <w:p>
      <w:r>
        <w:t>The global Emotion × N-back interaction for accuracy was evaluated using a Wald test. For reaction time, the full interaction mixed-effects model was compared with an additive model using a likelihood-ratio test under maximum likelihood estimation. Significant interactions were followed by planned simple-effect analyses comparing Positive versus Neutral, Negative versus Neutral, and Positive versus Negative at each n-back level.</w:t>
      </w:r>
    </w:p>
    <w:p>
      <w:r>
        <w:t>GEE coefficients were exponentiated and interpreted as odds ratios. Log reaction-time coefficients were converted to percentage changes in reaction time. Statistical significance was evaluated using a two-sided alpha level of .05, with 95% confidence intervals reported.</w:t>
      </w:r>
    </w:p>
    <w:p>
      <w:pPr>
        <w:pStyle w:val="Heading1"/>
      </w:pPr>
      <w:r>
        <w:t>Analytical Sample</w:t>
      </w:r>
    </w:p>
    <w:p>
      <w:r>
        <w:t>The distribution of participants and trials across emotional conditions and n-back levels is summarized below.</w:t>
      </w:r>
    </w:p>
    <w:p>
      <w:r>
        <w:t>Table 1. Analytical sample by emotional condition and cognitive-load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N-back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Trials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Valid accuracy</w:t>
            </w:r>
          </w:p>
        </w:tc>
      </w:tr>
      <w:tr>
        <w:tc>
          <w:tcPr>
            <w:tcW w:type="dxa" w:w="1930"/>
            <w:vAlign w:val="center"/>
          </w:tcPr>
          <w:p>
            <w:r>
              <w:t>Negative</w:t>
            </w:r>
          </w:p>
        </w:tc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Negative</w:t>
            </w:r>
          </w:p>
        </w:tc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Negative</w:t>
            </w:r>
          </w:p>
        </w:tc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Negative</w:t>
            </w:r>
          </w:p>
        </w:tc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Neutral</w:t>
            </w:r>
          </w:p>
        </w:tc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23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Neutral</w:t>
            </w:r>
          </w:p>
        </w:tc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23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Neutral</w:t>
            </w:r>
          </w:p>
        </w:tc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23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Neutral</w:t>
            </w:r>
          </w:p>
        </w:tc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23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</w:t>
            </w:r>
          </w:p>
        </w:tc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</w:t>
            </w:r>
          </w:p>
        </w:tc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  <w:tc>
          <w:tcPr>
            <w:tcW w:type="dxa" w:w="1930"/>
            <w:vAlign w:val="center"/>
          </w:tcPr>
          <w:p>
            <w:r>
              <w:t>1980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</w:t>
            </w:r>
          </w:p>
        </w:tc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  <w:tr>
        <w:tc>
          <w:tcPr>
            <w:tcW w:type="dxa" w:w="1930"/>
            <w:vAlign w:val="center"/>
          </w:tcPr>
          <w:p>
            <w:r>
              <w:t>Positive</w:t>
            </w:r>
          </w:p>
        </w:tc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22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  <w:tc>
          <w:tcPr>
            <w:tcW w:type="dxa" w:w="1930"/>
            <w:vAlign w:val="center"/>
          </w:tcPr>
          <w:p>
            <w:r>
              <w:t>1320</w:t>
            </w:r>
          </w:p>
        </w:tc>
      </w:tr>
    </w:tbl>
    <w:p/>
    <w:p>
      <w:pPr>
        <w:pStyle w:val="Heading1"/>
      </w:pPr>
      <w:r>
        <w:t>Results</w:t>
      </w:r>
    </w:p>
    <w:p>
      <w:pPr>
        <w:pStyle w:val="Heading2"/>
      </w:pPr>
      <w:r>
        <w:t>Accuracy</w:t>
      </w:r>
    </w:p>
    <w:p>
      <w:r>
        <w:t>The global Emotion × N-back interaction for response accuracy was statistically significant (p &lt; .001). This indicates that the association between emotional condition and accuracy varied across levels of cognitive load.</w:t>
      </w:r>
    </w:p>
    <w:p>
      <w:r>
        <w:t>Among the interaction coefficients, 2 terms reached the predefined alpha level of .05.</w:t>
      </w:r>
    </w:p>
    <w:p>
      <w:r>
        <w:t>The descriptive and simple-effect analyses were therefore used to characterize how the emotional-condition contrasts changed from 1-back through 4-back. Because interaction coefficients are conditional on the model reference levels, interpretation focuses primarily on the planned simple effects within each cognitive-load level.</w:t>
      </w:r>
    </w:p>
    <w:p>
      <w:r>
        <w:t>At the 1-back level, the following planned contrast(s) were statistically significant: Negative vs Neutral (OR = 0.60, p = .025); Positive vs Negative (OR = 2.91, p = .005).</w:t>
      </w:r>
    </w:p>
    <w:p>
      <w:r>
        <w:t>At the 4-back level, the following planned contrast(s) were statistically significant: Negative vs Neutral (OR = 0.76, p = .007).</w:t>
      </w:r>
    </w:p>
    <w:p>
      <w:r>
        <w:t>Table 2. Descriptive accuracy by emotional condition and n-back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N-back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Trials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SD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1289</w:t>
            </w:r>
          </w:p>
        </w:tc>
        <w:tc>
          <w:tcPr>
            <w:tcW w:type="dxa" w:w="1206"/>
            <w:vAlign w:val="center"/>
          </w:tcPr>
          <w:p>
            <w:r>
              <w:t>97.7%</w:t>
            </w:r>
          </w:p>
        </w:tc>
        <w:tc>
          <w:tcPr>
            <w:tcW w:type="dxa" w:w="1206"/>
            <w:vAlign w:val="center"/>
          </w:tcPr>
          <w:p>
            <w:r>
              <w:t>0.151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1980</w:t>
            </w:r>
          </w:p>
        </w:tc>
        <w:tc>
          <w:tcPr>
            <w:tcW w:type="dxa" w:w="1206"/>
            <w:vAlign w:val="center"/>
          </w:tcPr>
          <w:p>
            <w:r>
              <w:t>1764</w:t>
            </w:r>
          </w:p>
        </w:tc>
        <w:tc>
          <w:tcPr>
            <w:tcW w:type="dxa" w:w="1206"/>
            <w:vAlign w:val="center"/>
          </w:tcPr>
          <w:p>
            <w:r>
              <w:t>89.1%</w:t>
            </w:r>
          </w:p>
        </w:tc>
        <w:tc>
          <w:tcPr>
            <w:tcW w:type="dxa" w:w="1206"/>
            <w:vAlign w:val="center"/>
          </w:tcPr>
          <w:p>
            <w:r>
              <w:t>0.312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1018</w:t>
            </w:r>
          </w:p>
        </w:tc>
        <w:tc>
          <w:tcPr>
            <w:tcW w:type="dxa" w:w="1206"/>
            <w:vAlign w:val="center"/>
          </w:tcPr>
          <w:p>
            <w:r>
              <w:t>77.1%</w:t>
            </w:r>
          </w:p>
        </w:tc>
        <w:tc>
          <w:tcPr>
            <w:tcW w:type="dxa" w:w="1206"/>
            <w:vAlign w:val="center"/>
          </w:tcPr>
          <w:p>
            <w:r>
              <w:t>0.420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907</w:t>
            </w:r>
          </w:p>
        </w:tc>
        <w:tc>
          <w:tcPr>
            <w:tcW w:type="dxa" w:w="1206"/>
            <w:vAlign w:val="center"/>
          </w:tcPr>
          <w:p>
            <w:r>
              <w:t>68.7%</w:t>
            </w:r>
          </w:p>
        </w:tc>
        <w:tc>
          <w:tcPr>
            <w:tcW w:type="dxa" w:w="1206"/>
            <w:vAlign w:val="center"/>
          </w:tcPr>
          <w:p>
            <w:r>
              <w:t>0.464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1301</w:t>
            </w:r>
          </w:p>
        </w:tc>
        <w:tc>
          <w:tcPr>
            <w:tcW w:type="dxa" w:w="1206"/>
            <w:vAlign w:val="center"/>
          </w:tcPr>
          <w:p>
            <w:r>
              <w:t>98.6%</w:t>
            </w:r>
          </w:p>
        </w:tc>
        <w:tc>
          <w:tcPr>
            <w:tcW w:type="dxa" w:w="1206"/>
            <w:vAlign w:val="center"/>
          </w:tcPr>
          <w:p>
            <w:r>
              <w:t>0.119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1980</w:t>
            </w:r>
          </w:p>
        </w:tc>
        <w:tc>
          <w:tcPr>
            <w:tcW w:type="dxa" w:w="1206"/>
            <w:vAlign w:val="center"/>
          </w:tcPr>
          <w:p>
            <w:r>
              <w:t>1774</w:t>
            </w:r>
          </w:p>
        </w:tc>
        <w:tc>
          <w:tcPr>
            <w:tcW w:type="dxa" w:w="1206"/>
            <w:vAlign w:val="center"/>
          </w:tcPr>
          <w:p>
            <w:r>
              <w:t>89.6%</w:t>
            </w:r>
          </w:p>
        </w:tc>
        <w:tc>
          <w:tcPr>
            <w:tcW w:type="dxa" w:w="1206"/>
            <w:vAlign w:val="center"/>
          </w:tcPr>
          <w:p>
            <w:r>
              <w:t>0.305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990</w:t>
            </w:r>
          </w:p>
        </w:tc>
        <w:tc>
          <w:tcPr>
            <w:tcW w:type="dxa" w:w="1206"/>
            <w:vAlign w:val="center"/>
          </w:tcPr>
          <w:p>
            <w:r>
              <w:t>75.0%</w:t>
            </w:r>
          </w:p>
        </w:tc>
        <w:tc>
          <w:tcPr>
            <w:tcW w:type="dxa" w:w="1206"/>
            <w:vAlign w:val="center"/>
          </w:tcPr>
          <w:p>
            <w:r>
              <w:t>0.433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984</w:t>
            </w:r>
          </w:p>
        </w:tc>
        <w:tc>
          <w:tcPr>
            <w:tcW w:type="dxa" w:w="1206"/>
            <w:vAlign w:val="center"/>
          </w:tcPr>
          <w:p>
            <w:r>
              <w:t>74.5%</w:t>
            </w:r>
          </w:p>
        </w:tc>
        <w:tc>
          <w:tcPr>
            <w:tcW w:type="dxa" w:w="1206"/>
            <w:vAlign w:val="center"/>
          </w:tcPr>
          <w:p>
            <w:r>
              <w:t>0.436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1309</w:t>
            </w:r>
          </w:p>
        </w:tc>
        <w:tc>
          <w:tcPr>
            <w:tcW w:type="dxa" w:w="1206"/>
            <w:vAlign w:val="center"/>
          </w:tcPr>
          <w:p>
            <w:r>
              <w:t>99.2%</w:t>
            </w:r>
          </w:p>
        </w:tc>
        <w:tc>
          <w:tcPr>
            <w:tcW w:type="dxa" w:w="1206"/>
            <w:vAlign w:val="center"/>
          </w:tcPr>
          <w:p>
            <w:r>
              <w:t>0.091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1980</w:t>
            </w:r>
          </w:p>
        </w:tc>
        <w:tc>
          <w:tcPr>
            <w:tcW w:type="dxa" w:w="1206"/>
            <w:vAlign w:val="center"/>
          </w:tcPr>
          <w:p>
            <w:r>
              <w:t>1779</w:t>
            </w:r>
          </w:p>
        </w:tc>
        <w:tc>
          <w:tcPr>
            <w:tcW w:type="dxa" w:w="1206"/>
            <w:vAlign w:val="center"/>
          </w:tcPr>
          <w:p>
            <w:r>
              <w:t>89.8%</w:t>
            </w:r>
          </w:p>
        </w:tc>
        <w:tc>
          <w:tcPr>
            <w:tcW w:type="dxa" w:w="1206"/>
            <w:vAlign w:val="center"/>
          </w:tcPr>
          <w:p>
            <w:r>
              <w:t>0.302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1019</w:t>
            </w:r>
          </w:p>
        </w:tc>
        <w:tc>
          <w:tcPr>
            <w:tcW w:type="dxa" w:w="1206"/>
            <w:vAlign w:val="center"/>
          </w:tcPr>
          <w:p>
            <w:r>
              <w:t>77.2%</w:t>
            </w:r>
          </w:p>
        </w:tc>
        <w:tc>
          <w:tcPr>
            <w:tcW w:type="dxa" w:w="1206"/>
            <w:vAlign w:val="center"/>
          </w:tcPr>
          <w:p>
            <w:r>
              <w:t>0.420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1320</w:t>
            </w:r>
          </w:p>
        </w:tc>
        <w:tc>
          <w:tcPr>
            <w:tcW w:type="dxa" w:w="1206"/>
            <w:vAlign w:val="center"/>
          </w:tcPr>
          <w:p>
            <w:r>
              <w:t>948</w:t>
            </w:r>
          </w:p>
        </w:tc>
        <w:tc>
          <w:tcPr>
            <w:tcW w:type="dxa" w:w="1206"/>
            <w:vAlign w:val="center"/>
          </w:tcPr>
          <w:p>
            <w:r>
              <w:t>71.8%</w:t>
            </w:r>
          </w:p>
        </w:tc>
        <w:tc>
          <w:tcPr>
            <w:tcW w:type="dxa" w:w="1206"/>
            <w:vAlign w:val="center"/>
          </w:tcPr>
          <w:p>
            <w:r>
              <w:t>0.450</w:t>
            </w:r>
          </w:p>
        </w:tc>
        <w:tc>
          <w:tcPr>
            <w:tcW w:type="dxa" w:w="1206"/>
            <w:vAlign w:val="center"/>
          </w:tcPr>
          <w:p>
            <w:r>
              <w:t>1.0</w:t>
            </w:r>
          </w:p>
        </w:tc>
      </w:tr>
    </w:tbl>
    <w:p/>
    <w:p>
      <w:r>
        <w:t>Table 3. Emotion × cognitive-load interaction coefficients for response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Beta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OR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Treatment(reference=1))[T.2]</w:t>
            </w:r>
          </w:p>
        </w:tc>
        <w:tc>
          <w:tcPr>
            <w:tcW w:type="dxa" w:w="1930"/>
            <w:vAlign w:val="center"/>
          </w:tcPr>
          <w:p>
            <w:r>
              <w:t>0.431</w:t>
            </w:r>
          </w:p>
        </w:tc>
        <w:tc>
          <w:tcPr>
            <w:tcW w:type="dxa" w:w="1930"/>
            <w:vAlign w:val="center"/>
          </w:tcPr>
          <w:p>
            <w:r>
              <w:t>1.539</w:t>
            </w:r>
          </w:p>
        </w:tc>
        <w:tc>
          <w:tcPr>
            <w:tcW w:type="dxa" w:w="1930"/>
            <w:vAlign w:val="center"/>
          </w:tcPr>
          <w:p>
            <w:r>
              <w:t>[1.00, 2.37]</w:t>
            </w:r>
          </w:p>
        </w:tc>
        <w:tc>
          <w:tcPr>
            <w:tcW w:type="dxa" w:w="1930"/>
            <w:vAlign w:val="center"/>
          </w:tcPr>
          <w:p>
            <w:r>
              <w:t>= .050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Treatment(reference=1))[T.2]</w:t>
            </w:r>
          </w:p>
        </w:tc>
        <w:tc>
          <w:tcPr>
            <w:tcW w:type="dxa" w:w="1930"/>
            <w:vAlign w:val="center"/>
          </w:tcPr>
          <w:p>
            <w:r>
              <w:t>-0.498</w:t>
            </w:r>
          </w:p>
        </w:tc>
        <w:tc>
          <w:tcPr>
            <w:tcW w:type="dxa" w:w="1930"/>
            <w:vAlign w:val="center"/>
          </w:tcPr>
          <w:p>
            <w:r>
              <w:t>0.608</w:t>
            </w:r>
          </w:p>
        </w:tc>
        <w:tc>
          <w:tcPr>
            <w:tcW w:type="dxa" w:w="1930"/>
            <w:vAlign w:val="center"/>
          </w:tcPr>
          <w:p>
            <w:r>
              <w:t>[0.31, 1.20]</w:t>
            </w:r>
          </w:p>
        </w:tc>
        <w:tc>
          <w:tcPr>
            <w:tcW w:type="dxa" w:w="1930"/>
            <w:vAlign w:val="center"/>
          </w:tcPr>
          <w:p>
            <w:r>
              <w:t>= .150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Treatment(reference=1))[T.3]</w:t>
            </w:r>
          </w:p>
        </w:tc>
        <w:tc>
          <w:tcPr>
            <w:tcW w:type="dxa" w:w="1930"/>
            <w:vAlign w:val="center"/>
          </w:tcPr>
          <w:p>
            <w:r>
              <w:t>0.598</w:t>
            </w:r>
          </w:p>
        </w:tc>
        <w:tc>
          <w:tcPr>
            <w:tcW w:type="dxa" w:w="1930"/>
            <w:vAlign w:val="center"/>
          </w:tcPr>
          <w:p>
            <w:r>
              <w:t>1.819</w:t>
            </w:r>
          </w:p>
        </w:tc>
        <w:tc>
          <w:tcPr>
            <w:tcW w:type="dxa" w:w="1930"/>
            <w:vAlign w:val="center"/>
          </w:tcPr>
          <w:p>
            <w:r>
              <w:t>[1.13, 2.92]</w:t>
            </w:r>
          </w:p>
        </w:tc>
        <w:tc>
          <w:tcPr>
            <w:tcW w:type="dxa" w:w="1930"/>
            <w:vAlign w:val="center"/>
          </w:tcPr>
          <w:p>
            <w:r>
              <w:t>= .013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Treatment(reference=1))[T.3]</w:t>
            </w:r>
          </w:p>
        </w:tc>
        <w:tc>
          <w:tcPr>
            <w:tcW w:type="dxa" w:w="1930"/>
            <w:vAlign w:val="center"/>
          </w:tcPr>
          <w:p>
            <w:r>
              <w:t>-0.403</w:t>
            </w:r>
          </w:p>
        </w:tc>
        <w:tc>
          <w:tcPr>
            <w:tcW w:type="dxa" w:w="1930"/>
            <w:vAlign w:val="center"/>
          </w:tcPr>
          <w:p>
            <w:r>
              <w:t>0.668</w:t>
            </w:r>
          </w:p>
        </w:tc>
        <w:tc>
          <w:tcPr>
            <w:tcW w:type="dxa" w:w="1930"/>
            <w:vAlign w:val="center"/>
          </w:tcPr>
          <w:p>
            <w:r>
              <w:t>[0.33, 1.37]</w:t>
            </w:r>
          </w:p>
        </w:tc>
        <w:tc>
          <w:tcPr>
            <w:tcW w:type="dxa" w:w="1930"/>
            <w:vAlign w:val="center"/>
          </w:tcPr>
          <w:p>
            <w:r>
              <w:t>= .273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Treatment(reference=1))[T.4]</w:t>
            </w:r>
          </w:p>
        </w:tc>
        <w:tc>
          <w:tcPr>
            <w:tcW w:type="dxa" w:w="1930"/>
            <w:vAlign w:val="center"/>
          </w:tcPr>
          <w:p>
            <w:r>
              <w:t>0.194</w:t>
            </w:r>
          </w:p>
        </w:tc>
        <w:tc>
          <w:tcPr>
            <w:tcW w:type="dxa" w:w="1930"/>
            <w:vAlign w:val="center"/>
          </w:tcPr>
          <w:p>
            <w:r>
              <w:t>1.215</w:t>
            </w:r>
          </w:p>
        </w:tc>
        <w:tc>
          <w:tcPr>
            <w:tcW w:type="dxa" w:w="1930"/>
            <w:vAlign w:val="center"/>
          </w:tcPr>
          <w:p>
            <w:r>
              <w:t>[0.72, 2.04]</w:t>
            </w:r>
          </w:p>
        </w:tc>
        <w:tc>
          <w:tcPr>
            <w:tcW w:type="dxa" w:w="1930"/>
            <w:vAlign w:val="center"/>
          </w:tcPr>
          <w:p>
            <w:r>
              <w:t>= .464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Treatment(reference=1))[T.4]</w:t>
            </w:r>
          </w:p>
        </w:tc>
        <w:tc>
          <w:tcPr>
            <w:tcW w:type="dxa" w:w="1930"/>
            <w:vAlign w:val="center"/>
          </w:tcPr>
          <w:p>
            <w:r>
              <w:t>-0.662</w:t>
            </w:r>
          </w:p>
        </w:tc>
        <w:tc>
          <w:tcPr>
            <w:tcW w:type="dxa" w:w="1930"/>
            <w:vAlign w:val="center"/>
          </w:tcPr>
          <w:p>
            <w:r>
              <w:t>0.516</w:t>
            </w:r>
          </w:p>
        </w:tc>
        <w:tc>
          <w:tcPr>
            <w:tcW w:type="dxa" w:w="1930"/>
            <w:vAlign w:val="center"/>
          </w:tcPr>
          <w:p>
            <w:r>
              <w:t>[0.25, 1.07]</w:t>
            </w:r>
          </w:p>
        </w:tc>
        <w:tc>
          <w:tcPr>
            <w:tcW w:type="dxa" w:w="1930"/>
            <w:vAlign w:val="center"/>
          </w:tcPr>
          <w:p>
            <w:r>
              <w:t>= .074</w:t>
            </w:r>
          </w:p>
        </w:tc>
      </w:tr>
    </w:tbl>
    <w:p/>
    <w:p>
      <w:r>
        <w:t>Table 4. Planned simple effects for response accuracy at each n-back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N-back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OR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0.603</w:t>
            </w:r>
          </w:p>
        </w:tc>
        <w:tc>
          <w:tcPr>
            <w:tcW w:type="dxa" w:w="1930"/>
            <w:vAlign w:val="center"/>
          </w:tcPr>
          <w:p>
            <w:r>
              <w:t>[0.39, 0.94]</w:t>
            </w:r>
          </w:p>
        </w:tc>
        <w:tc>
          <w:tcPr>
            <w:tcW w:type="dxa" w:w="1930"/>
            <w:vAlign w:val="center"/>
          </w:tcPr>
          <w:p>
            <w:r>
              <w:t>= .025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2.910</w:t>
            </w:r>
          </w:p>
        </w:tc>
        <w:tc>
          <w:tcPr>
            <w:tcW w:type="dxa" w:w="1930"/>
            <w:vAlign w:val="center"/>
          </w:tcPr>
          <w:p>
            <w:r>
              <w:t>[1.38, 6.13]</w:t>
            </w:r>
          </w:p>
        </w:tc>
        <w:tc>
          <w:tcPr>
            <w:tcW w:type="dxa" w:w="1930"/>
            <w:vAlign w:val="center"/>
          </w:tcPr>
          <w:p>
            <w:r>
              <w:t>= .005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1.756</w:t>
            </w:r>
          </w:p>
        </w:tc>
        <w:tc>
          <w:tcPr>
            <w:tcW w:type="dxa" w:w="1930"/>
            <w:vAlign w:val="center"/>
          </w:tcPr>
          <w:p>
            <w:r>
              <w:t>[0.87, 3.55]</w:t>
            </w:r>
          </w:p>
        </w:tc>
        <w:tc>
          <w:tcPr>
            <w:tcW w:type="dxa" w:w="1930"/>
            <w:vAlign w:val="center"/>
          </w:tcPr>
          <w:p>
            <w:r>
              <w:t>= .117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0.952</w:t>
            </w:r>
          </w:p>
        </w:tc>
        <w:tc>
          <w:tcPr>
            <w:tcW w:type="dxa" w:w="1930"/>
            <w:vAlign w:val="center"/>
          </w:tcPr>
          <w:p>
            <w:r>
              <w:t>[0.77, 1.18]</w:t>
            </w:r>
          </w:p>
        </w:tc>
        <w:tc>
          <w:tcPr>
            <w:tcW w:type="dxa" w:w="1930"/>
            <w:vAlign w:val="center"/>
          </w:tcPr>
          <w:p>
            <w:r>
              <w:t>= .653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1.076</w:t>
            </w:r>
          </w:p>
        </w:tc>
        <w:tc>
          <w:tcPr>
            <w:tcW w:type="dxa" w:w="1930"/>
            <w:vAlign w:val="center"/>
          </w:tcPr>
          <w:p>
            <w:r>
              <w:t>[0.86, 1.35]</w:t>
            </w:r>
          </w:p>
        </w:tc>
        <w:tc>
          <w:tcPr>
            <w:tcW w:type="dxa" w:w="1930"/>
            <w:vAlign w:val="center"/>
          </w:tcPr>
          <w:p>
            <w:r>
              <w:t>= .530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1.024</w:t>
            </w:r>
          </w:p>
        </w:tc>
        <w:tc>
          <w:tcPr>
            <w:tcW w:type="dxa" w:w="1930"/>
            <w:vAlign w:val="center"/>
          </w:tcPr>
          <w:p>
            <w:r>
              <w:t>[0.89, 1.18]</w:t>
            </w:r>
          </w:p>
        </w:tc>
        <w:tc>
          <w:tcPr>
            <w:tcW w:type="dxa" w:w="1930"/>
            <w:vAlign w:val="center"/>
          </w:tcPr>
          <w:p>
            <w:r>
              <w:t>= .743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1.128</w:t>
            </w:r>
          </w:p>
        </w:tc>
        <w:tc>
          <w:tcPr>
            <w:tcW w:type="dxa" w:w="1930"/>
            <w:vAlign w:val="center"/>
          </w:tcPr>
          <w:p>
            <w:r>
              <w:t>[0.92, 1.38]</w:t>
            </w:r>
          </w:p>
        </w:tc>
        <w:tc>
          <w:tcPr>
            <w:tcW w:type="dxa" w:w="1930"/>
            <w:vAlign w:val="center"/>
          </w:tcPr>
          <w:p>
            <w:r>
              <w:t>= .241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0.995</w:t>
            </w:r>
          </w:p>
        </w:tc>
        <w:tc>
          <w:tcPr>
            <w:tcW w:type="dxa" w:w="1930"/>
            <w:vAlign w:val="center"/>
          </w:tcPr>
          <w:p>
            <w:r>
              <w:t>[0.82, 1.21]</w:t>
            </w:r>
          </w:p>
        </w:tc>
        <w:tc>
          <w:tcPr>
            <w:tcW w:type="dxa" w:w="1930"/>
            <w:vAlign w:val="center"/>
          </w:tcPr>
          <w:p>
            <w:r>
              <w:t>= .959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1.122</w:t>
            </w:r>
          </w:p>
        </w:tc>
        <w:tc>
          <w:tcPr>
            <w:tcW w:type="dxa" w:w="1930"/>
            <w:vAlign w:val="center"/>
          </w:tcPr>
          <w:p>
            <w:r>
              <w:t>[0.94, 1.35]</w:t>
            </w:r>
          </w:p>
        </w:tc>
        <w:tc>
          <w:tcPr>
            <w:tcW w:type="dxa" w:w="1930"/>
            <w:vAlign w:val="center"/>
          </w:tcPr>
          <w:p>
            <w:r>
              <w:t>= .211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0.758</w:t>
            </w:r>
          </w:p>
        </w:tc>
        <w:tc>
          <w:tcPr>
            <w:tcW w:type="dxa" w:w="1930"/>
            <w:vAlign w:val="center"/>
          </w:tcPr>
          <w:p>
            <w:r>
              <w:t>[0.62, 0.93]</w:t>
            </w:r>
          </w:p>
        </w:tc>
        <w:tc>
          <w:tcPr>
            <w:tcW w:type="dxa" w:w="1930"/>
            <w:vAlign w:val="center"/>
          </w:tcPr>
          <w:p>
            <w:r>
              <w:t>= .007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1.139</w:t>
            </w:r>
          </w:p>
        </w:tc>
        <w:tc>
          <w:tcPr>
            <w:tcW w:type="dxa" w:w="1930"/>
            <w:vAlign w:val="center"/>
          </w:tcPr>
          <w:p>
            <w:r>
              <w:t>[0.95, 1.36]</w:t>
            </w:r>
          </w:p>
        </w:tc>
        <w:tc>
          <w:tcPr>
            <w:tcW w:type="dxa" w:w="1930"/>
            <w:vAlign w:val="center"/>
          </w:tcPr>
          <w:p>
            <w:r>
              <w:t>= .151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0.863</w:t>
            </w:r>
          </w:p>
        </w:tc>
        <w:tc>
          <w:tcPr>
            <w:tcW w:type="dxa" w:w="1930"/>
            <w:vAlign w:val="center"/>
          </w:tcPr>
          <w:p>
            <w:r>
              <w:t>[0.70, 1.06]</w:t>
            </w:r>
          </w:p>
        </w:tc>
        <w:tc>
          <w:tcPr>
            <w:tcW w:type="dxa" w:w="1930"/>
            <w:vAlign w:val="center"/>
          </w:tcPr>
          <w:p>
            <w:r>
              <w:t>= .167</w:t>
            </w:r>
          </w:p>
        </w:tc>
      </w:tr>
    </w:tbl>
    <w:p/>
    <w:p>
      <w:pPr>
        <w:pStyle w:val="Heading2"/>
      </w:pPr>
      <w:r>
        <w:t>Reaction Time</w:t>
      </w:r>
    </w:p>
    <w:p>
      <w:r>
        <w:t>The global Emotion × N-back interaction for reaction time was not statistically significant (likelihood-ratio chi-square(6) = 11.78, p = .067).</w:t>
      </w:r>
    </w:p>
    <w:p>
      <w:r>
        <w:t>A total of 2 individual reaction-time interaction terms reached the predefined alpha level.</w:t>
      </w:r>
    </w:p>
    <w:p>
      <w:r>
        <w:t>Simple-effect analyses examined the percentage change in reaction time for each emotional-condition contrast at each n-back level. Negative percentage values indicate faster responding for the first condition in the contrast, whereas positive values indicate slower responding.</w:t>
      </w:r>
    </w:p>
    <w:p>
      <w:r>
        <w:t>At the 1-back level, the following planned contrast(s) were statistically significant: Negative vs Neutral (RT change = -19.6%, p &lt; .001); Positive vs Neutral (RT change = -22.8%, p &lt; .001).</w:t>
      </w:r>
    </w:p>
    <w:p>
      <w:r>
        <w:t>At the 2-back level, the following planned contrast(s) were statistically significant: Negative vs Neutral (RT change = -24.8%, p &lt; .001); Positive vs Neutral (RT change = -26.9%, p &lt; .001).</w:t>
      </w:r>
    </w:p>
    <w:p>
      <w:r>
        <w:t>At the 3-back level, the following planned contrast(s) were statistically significant: Negative vs Neutral (RT change = -29.3%, p &lt; .001); Positive vs Neutral (RT change = -29.3%, p &lt; .001).</w:t>
      </w:r>
    </w:p>
    <w:p>
      <w:r>
        <w:t>At the 4-back level, the following planned contrast(s) were statistically significant: Negative vs Neutral (RT change = -19.9%, p &lt; .001); Positive vs Neutral (RT change = -21.6%, p &lt; .001).</w:t>
      </w:r>
    </w:p>
    <w:p>
      <w:r>
        <w:t>Table 5. Descriptive reaction time by emotional condition and n-back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N-back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Trials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Mean RT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SD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Median RT</w:t>
            </w:r>
          </w:p>
        </w:tc>
        <w:tc>
          <w:tcPr>
            <w:tcW w:type="dxa" w:w="1206"/>
            <w:vAlign w:val="center"/>
          </w:tcPr>
          <w:p>
            <w:r>
              <w:rPr>
                <w:b/>
              </w:rPr>
              <w:t>Mean log RT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1191</w:t>
            </w:r>
          </w:p>
        </w:tc>
        <w:tc>
          <w:tcPr>
            <w:tcW w:type="dxa" w:w="1206"/>
            <w:vAlign w:val="center"/>
          </w:tcPr>
          <w:p>
            <w:r>
              <w:t>487.14</w:t>
            </w:r>
          </w:p>
        </w:tc>
        <w:tc>
          <w:tcPr>
            <w:tcW w:type="dxa" w:w="1206"/>
            <w:vAlign w:val="center"/>
          </w:tcPr>
          <w:p>
            <w:r>
              <w:t>403.11</w:t>
            </w:r>
          </w:p>
        </w:tc>
        <w:tc>
          <w:tcPr>
            <w:tcW w:type="dxa" w:w="1206"/>
            <w:vAlign w:val="center"/>
          </w:tcPr>
          <w:p>
            <w:r>
              <w:t>347.00</w:t>
            </w:r>
          </w:p>
        </w:tc>
        <w:tc>
          <w:tcPr>
            <w:tcW w:type="dxa" w:w="1206"/>
            <w:vAlign w:val="center"/>
          </w:tcPr>
          <w:p>
            <w:r>
              <w:t>5.97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1680</w:t>
            </w:r>
          </w:p>
        </w:tc>
        <w:tc>
          <w:tcPr>
            <w:tcW w:type="dxa" w:w="1206"/>
            <w:vAlign w:val="center"/>
          </w:tcPr>
          <w:p>
            <w:r>
              <w:t>800.85</w:t>
            </w:r>
          </w:p>
        </w:tc>
        <w:tc>
          <w:tcPr>
            <w:tcW w:type="dxa" w:w="1206"/>
            <w:vAlign w:val="center"/>
          </w:tcPr>
          <w:p>
            <w:r>
              <w:t>752.96</w:t>
            </w:r>
          </w:p>
        </w:tc>
        <w:tc>
          <w:tcPr>
            <w:tcW w:type="dxa" w:w="1206"/>
            <w:vAlign w:val="center"/>
          </w:tcPr>
          <w:p>
            <w:r>
              <w:t>500.50</w:t>
            </w:r>
          </w:p>
        </w:tc>
        <w:tc>
          <w:tcPr>
            <w:tcW w:type="dxa" w:w="1206"/>
            <w:vAlign w:val="center"/>
          </w:tcPr>
          <w:p>
            <w:r>
              <w:t>6.34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977</w:t>
            </w:r>
          </w:p>
        </w:tc>
        <w:tc>
          <w:tcPr>
            <w:tcW w:type="dxa" w:w="1206"/>
            <w:vAlign w:val="center"/>
          </w:tcPr>
          <w:p>
            <w:r>
              <w:t>845.42</w:t>
            </w:r>
          </w:p>
        </w:tc>
        <w:tc>
          <w:tcPr>
            <w:tcW w:type="dxa" w:w="1206"/>
            <w:vAlign w:val="center"/>
          </w:tcPr>
          <w:p>
            <w:r>
              <w:t>858.59</w:t>
            </w:r>
          </w:p>
        </w:tc>
        <w:tc>
          <w:tcPr>
            <w:tcW w:type="dxa" w:w="1206"/>
            <w:vAlign w:val="center"/>
          </w:tcPr>
          <w:p>
            <w:r>
              <w:t>451.00</w:t>
            </w:r>
          </w:p>
        </w:tc>
        <w:tc>
          <w:tcPr>
            <w:tcW w:type="dxa" w:w="1206"/>
            <w:vAlign w:val="center"/>
          </w:tcPr>
          <w:p>
            <w:r>
              <w:t>6.34</w:t>
            </w:r>
          </w:p>
        </w:tc>
      </w:tr>
      <w:tr>
        <w:tc>
          <w:tcPr>
            <w:tcW w:type="dxa" w:w="1206"/>
            <w:vAlign w:val="center"/>
          </w:tcPr>
          <w:p>
            <w:r>
              <w:t>Negative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856</w:t>
            </w:r>
          </w:p>
        </w:tc>
        <w:tc>
          <w:tcPr>
            <w:tcW w:type="dxa" w:w="1206"/>
            <w:vAlign w:val="center"/>
          </w:tcPr>
          <w:p>
            <w:r>
              <w:t>853.44</w:t>
            </w:r>
          </w:p>
        </w:tc>
        <w:tc>
          <w:tcPr>
            <w:tcW w:type="dxa" w:w="1206"/>
            <w:vAlign w:val="center"/>
          </w:tcPr>
          <w:p>
            <w:r>
              <w:t>862.38</w:t>
            </w:r>
          </w:p>
        </w:tc>
        <w:tc>
          <w:tcPr>
            <w:tcW w:type="dxa" w:w="1206"/>
            <w:vAlign w:val="center"/>
          </w:tcPr>
          <w:p>
            <w:r>
              <w:t>483.50</w:t>
            </w:r>
          </w:p>
        </w:tc>
        <w:tc>
          <w:tcPr>
            <w:tcW w:type="dxa" w:w="1206"/>
            <w:vAlign w:val="center"/>
          </w:tcPr>
          <w:p>
            <w:r>
              <w:t>6.37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1244</w:t>
            </w:r>
          </w:p>
        </w:tc>
        <w:tc>
          <w:tcPr>
            <w:tcW w:type="dxa" w:w="1206"/>
            <w:vAlign w:val="center"/>
          </w:tcPr>
          <w:p>
            <w:r>
              <w:t>643.46</w:t>
            </w:r>
          </w:p>
        </w:tc>
        <w:tc>
          <w:tcPr>
            <w:tcW w:type="dxa" w:w="1206"/>
            <w:vAlign w:val="center"/>
          </w:tcPr>
          <w:p>
            <w:r>
              <w:t>555.73</w:t>
            </w:r>
          </w:p>
        </w:tc>
        <w:tc>
          <w:tcPr>
            <w:tcW w:type="dxa" w:w="1206"/>
            <w:vAlign w:val="center"/>
          </w:tcPr>
          <w:p>
            <w:r>
              <w:t>437.50</w:t>
            </w:r>
          </w:p>
        </w:tc>
        <w:tc>
          <w:tcPr>
            <w:tcW w:type="dxa" w:w="1206"/>
            <w:vAlign w:val="center"/>
          </w:tcPr>
          <w:p>
            <w:r>
              <w:t>6.19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1709</w:t>
            </w:r>
          </w:p>
        </w:tc>
        <w:tc>
          <w:tcPr>
            <w:tcW w:type="dxa" w:w="1206"/>
            <w:vAlign w:val="center"/>
          </w:tcPr>
          <w:p>
            <w:r>
              <w:t>1036.54</w:t>
            </w:r>
          </w:p>
        </w:tc>
        <w:tc>
          <w:tcPr>
            <w:tcW w:type="dxa" w:w="1206"/>
            <w:vAlign w:val="center"/>
          </w:tcPr>
          <w:p>
            <w:r>
              <w:t>900.37</w:t>
            </w:r>
          </w:p>
        </w:tc>
        <w:tc>
          <w:tcPr>
            <w:tcW w:type="dxa" w:w="1206"/>
            <w:vAlign w:val="center"/>
          </w:tcPr>
          <w:p>
            <w:r>
              <w:t>720.00</w:t>
            </w:r>
          </w:p>
        </w:tc>
        <w:tc>
          <w:tcPr>
            <w:tcW w:type="dxa" w:w="1206"/>
            <w:vAlign w:val="center"/>
          </w:tcPr>
          <w:p>
            <w:r>
              <w:t>6.61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943</w:t>
            </w:r>
          </w:p>
        </w:tc>
        <w:tc>
          <w:tcPr>
            <w:tcW w:type="dxa" w:w="1206"/>
            <w:vAlign w:val="center"/>
          </w:tcPr>
          <w:p>
            <w:r>
              <w:t>1172.93</w:t>
            </w:r>
          </w:p>
        </w:tc>
        <w:tc>
          <w:tcPr>
            <w:tcW w:type="dxa" w:w="1206"/>
            <w:vAlign w:val="center"/>
          </w:tcPr>
          <w:p>
            <w:r>
              <w:t>1007.66</w:t>
            </w:r>
          </w:p>
        </w:tc>
        <w:tc>
          <w:tcPr>
            <w:tcW w:type="dxa" w:w="1206"/>
            <w:vAlign w:val="center"/>
          </w:tcPr>
          <w:p>
            <w:r>
              <w:t>829.00</w:t>
            </w:r>
          </w:p>
        </w:tc>
        <w:tc>
          <w:tcPr>
            <w:tcW w:type="dxa" w:w="1206"/>
            <w:vAlign w:val="center"/>
          </w:tcPr>
          <w:p>
            <w:r>
              <w:t>6.69</w:t>
            </w:r>
          </w:p>
        </w:tc>
      </w:tr>
      <w:tr>
        <w:tc>
          <w:tcPr>
            <w:tcW w:type="dxa" w:w="1206"/>
            <w:vAlign w:val="center"/>
          </w:tcPr>
          <w:p>
            <w:r>
              <w:t>Neutral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23</w:t>
            </w:r>
          </w:p>
        </w:tc>
        <w:tc>
          <w:tcPr>
            <w:tcW w:type="dxa" w:w="1206"/>
            <w:vAlign w:val="center"/>
          </w:tcPr>
          <w:p>
            <w:r>
              <w:t>933</w:t>
            </w:r>
          </w:p>
        </w:tc>
        <w:tc>
          <w:tcPr>
            <w:tcW w:type="dxa" w:w="1206"/>
            <w:vAlign w:val="center"/>
          </w:tcPr>
          <w:p>
            <w:r>
              <w:t>1060.72</w:t>
            </w:r>
          </w:p>
        </w:tc>
        <w:tc>
          <w:tcPr>
            <w:tcW w:type="dxa" w:w="1206"/>
            <w:vAlign w:val="center"/>
          </w:tcPr>
          <w:p>
            <w:r>
              <w:t>1018.84</w:t>
            </w:r>
          </w:p>
        </w:tc>
        <w:tc>
          <w:tcPr>
            <w:tcW w:type="dxa" w:w="1206"/>
            <w:vAlign w:val="center"/>
          </w:tcPr>
          <w:p>
            <w:r>
              <w:t>661.00</w:t>
            </w:r>
          </w:p>
        </w:tc>
        <w:tc>
          <w:tcPr>
            <w:tcW w:type="dxa" w:w="1206"/>
            <w:vAlign w:val="center"/>
          </w:tcPr>
          <w:p>
            <w:r>
              <w:t>6.58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1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1166</w:t>
            </w:r>
          </w:p>
        </w:tc>
        <w:tc>
          <w:tcPr>
            <w:tcW w:type="dxa" w:w="1206"/>
            <w:vAlign w:val="center"/>
          </w:tcPr>
          <w:p>
            <w:r>
              <w:t>535.90</w:t>
            </w:r>
          </w:p>
        </w:tc>
        <w:tc>
          <w:tcPr>
            <w:tcW w:type="dxa" w:w="1206"/>
            <w:vAlign w:val="center"/>
          </w:tcPr>
          <w:p>
            <w:r>
              <w:t>573.71</w:t>
            </w:r>
          </w:p>
        </w:tc>
        <w:tc>
          <w:tcPr>
            <w:tcW w:type="dxa" w:w="1206"/>
            <w:vAlign w:val="center"/>
          </w:tcPr>
          <w:p>
            <w:r>
              <w:t>331.00</w:t>
            </w:r>
          </w:p>
        </w:tc>
        <w:tc>
          <w:tcPr>
            <w:tcW w:type="dxa" w:w="1206"/>
            <w:vAlign w:val="center"/>
          </w:tcPr>
          <w:p>
            <w:r>
              <w:t>5.96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2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1653</w:t>
            </w:r>
          </w:p>
        </w:tc>
        <w:tc>
          <w:tcPr>
            <w:tcW w:type="dxa" w:w="1206"/>
            <w:vAlign w:val="center"/>
          </w:tcPr>
          <w:p>
            <w:r>
              <w:t>821.82</w:t>
            </w:r>
          </w:p>
        </w:tc>
        <w:tc>
          <w:tcPr>
            <w:tcW w:type="dxa" w:w="1206"/>
            <w:vAlign w:val="center"/>
          </w:tcPr>
          <w:p>
            <w:r>
              <w:t>817.70</w:t>
            </w:r>
          </w:p>
        </w:tc>
        <w:tc>
          <w:tcPr>
            <w:tcW w:type="dxa" w:w="1206"/>
            <w:vAlign w:val="center"/>
          </w:tcPr>
          <w:p>
            <w:r>
              <w:t>475.00</w:t>
            </w:r>
          </w:p>
        </w:tc>
        <w:tc>
          <w:tcPr>
            <w:tcW w:type="dxa" w:w="1206"/>
            <w:vAlign w:val="center"/>
          </w:tcPr>
          <w:p>
            <w:r>
              <w:t>6.32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3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961</w:t>
            </w:r>
          </w:p>
        </w:tc>
        <w:tc>
          <w:tcPr>
            <w:tcW w:type="dxa" w:w="1206"/>
            <w:vAlign w:val="center"/>
          </w:tcPr>
          <w:p>
            <w:r>
              <w:t>869.15</w:t>
            </w:r>
          </w:p>
        </w:tc>
        <w:tc>
          <w:tcPr>
            <w:tcW w:type="dxa" w:w="1206"/>
            <w:vAlign w:val="center"/>
          </w:tcPr>
          <w:p>
            <w:r>
              <w:t>909.86</w:t>
            </w:r>
          </w:p>
        </w:tc>
        <w:tc>
          <w:tcPr>
            <w:tcW w:type="dxa" w:w="1206"/>
            <w:vAlign w:val="center"/>
          </w:tcPr>
          <w:p>
            <w:r>
              <w:t>477.00</w:t>
            </w:r>
          </w:p>
        </w:tc>
        <w:tc>
          <w:tcPr>
            <w:tcW w:type="dxa" w:w="1206"/>
            <w:vAlign w:val="center"/>
          </w:tcPr>
          <w:p>
            <w:r>
              <w:t>6.34</w:t>
            </w:r>
          </w:p>
        </w:tc>
      </w:tr>
      <w:tr>
        <w:tc>
          <w:tcPr>
            <w:tcW w:type="dxa" w:w="1206"/>
            <w:vAlign w:val="center"/>
          </w:tcPr>
          <w:p>
            <w:r>
              <w:t>Positive</w:t>
            </w:r>
          </w:p>
        </w:tc>
        <w:tc>
          <w:tcPr>
            <w:tcW w:type="dxa" w:w="1206"/>
            <w:vAlign w:val="center"/>
          </w:tcPr>
          <w:p>
            <w:r>
              <w:t>4</w:t>
            </w:r>
          </w:p>
        </w:tc>
        <w:tc>
          <w:tcPr>
            <w:tcW w:type="dxa" w:w="1206"/>
            <w:vAlign w:val="center"/>
          </w:tcPr>
          <w:p>
            <w:r>
              <w:t>22</w:t>
            </w:r>
          </w:p>
        </w:tc>
        <w:tc>
          <w:tcPr>
            <w:tcW w:type="dxa" w:w="1206"/>
            <w:vAlign w:val="center"/>
          </w:tcPr>
          <w:p>
            <w:r>
              <w:t>871</w:t>
            </w:r>
          </w:p>
        </w:tc>
        <w:tc>
          <w:tcPr>
            <w:tcW w:type="dxa" w:w="1206"/>
            <w:vAlign w:val="center"/>
          </w:tcPr>
          <w:p>
            <w:r>
              <w:t>882.73</w:t>
            </w:r>
          </w:p>
        </w:tc>
        <w:tc>
          <w:tcPr>
            <w:tcW w:type="dxa" w:w="1206"/>
            <w:vAlign w:val="center"/>
          </w:tcPr>
          <w:p>
            <w:r>
              <w:t>878.01</w:t>
            </w:r>
          </w:p>
        </w:tc>
        <w:tc>
          <w:tcPr>
            <w:tcW w:type="dxa" w:w="1206"/>
            <w:vAlign w:val="center"/>
          </w:tcPr>
          <w:p>
            <w:r>
              <w:t>532.00</w:t>
            </w:r>
          </w:p>
        </w:tc>
        <w:tc>
          <w:tcPr>
            <w:tcW w:type="dxa" w:w="1206"/>
            <w:vAlign w:val="center"/>
          </w:tcPr>
          <w:p>
            <w:r>
              <w:t>6.37</w:t>
            </w:r>
          </w:p>
        </w:tc>
      </w:tr>
    </w:tbl>
    <w:p/>
    <w:p>
      <w:r>
        <w:t>Table 6. Emotion × cognitive-load interaction coefficients for log reaction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Beta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RT change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Treatment(reference=1))[T.2]</w:t>
            </w:r>
          </w:p>
        </w:tc>
        <w:tc>
          <w:tcPr>
            <w:tcW w:type="dxa" w:w="1930"/>
            <w:vAlign w:val="center"/>
          </w:tcPr>
          <w:p>
            <w:r>
              <w:t>-0.055</w:t>
            </w:r>
          </w:p>
        </w:tc>
        <w:tc>
          <w:tcPr>
            <w:tcW w:type="dxa" w:w="1930"/>
            <w:vAlign w:val="center"/>
          </w:tcPr>
          <w:p>
            <w:r>
              <w:t>-5.4%</w:t>
            </w:r>
          </w:p>
        </w:tc>
        <w:tc>
          <w:tcPr>
            <w:tcW w:type="dxa" w:w="1930"/>
            <w:vAlign w:val="center"/>
          </w:tcPr>
          <w:p>
            <w:r>
              <w:t>[-12.3%, 2.0%]</w:t>
            </w:r>
          </w:p>
        </w:tc>
        <w:tc>
          <w:tcPr>
            <w:tcW w:type="dxa" w:w="1930"/>
            <w:vAlign w:val="center"/>
          </w:tcPr>
          <w:p>
            <w:r>
              <w:t>= .149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Treatment(reference=1))[T.2]</w:t>
            </w:r>
          </w:p>
        </w:tc>
        <w:tc>
          <w:tcPr>
            <w:tcW w:type="dxa" w:w="1930"/>
            <w:vAlign w:val="center"/>
          </w:tcPr>
          <w:p>
            <w:r>
              <w:t>-0.065</w:t>
            </w:r>
          </w:p>
        </w:tc>
        <w:tc>
          <w:tcPr>
            <w:tcW w:type="dxa" w:w="1930"/>
            <w:vAlign w:val="center"/>
          </w:tcPr>
          <w:p>
            <w:r>
              <w:t>-6.3%</w:t>
            </w:r>
          </w:p>
        </w:tc>
        <w:tc>
          <w:tcPr>
            <w:tcW w:type="dxa" w:w="1930"/>
            <w:vAlign w:val="center"/>
          </w:tcPr>
          <w:p>
            <w:r>
              <w:t>[-13.1%, 1.1%]</w:t>
            </w:r>
          </w:p>
        </w:tc>
        <w:tc>
          <w:tcPr>
            <w:tcW w:type="dxa" w:w="1930"/>
            <w:vAlign w:val="center"/>
          </w:tcPr>
          <w:p>
            <w:r>
              <w:t>= .093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Treatment(reference=1))[T.3]</w:t>
            </w:r>
          </w:p>
        </w:tc>
        <w:tc>
          <w:tcPr>
            <w:tcW w:type="dxa" w:w="1930"/>
            <w:vAlign w:val="center"/>
          </w:tcPr>
          <w:p>
            <w:r>
              <w:t>-0.112</w:t>
            </w:r>
          </w:p>
        </w:tc>
        <w:tc>
          <w:tcPr>
            <w:tcW w:type="dxa" w:w="1930"/>
            <w:vAlign w:val="center"/>
          </w:tcPr>
          <w:p>
            <w:r>
              <w:t>-10.6%</w:t>
            </w:r>
          </w:p>
        </w:tc>
        <w:tc>
          <w:tcPr>
            <w:tcW w:type="dxa" w:w="1930"/>
            <w:vAlign w:val="center"/>
          </w:tcPr>
          <w:p>
            <w:r>
              <w:t>[-18.0%, -2.5%]</w:t>
            </w:r>
          </w:p>
        </w:tc>
        <w:tc>
          <w:tcPr>
            <w:tcW w:type="dxa" w:w="1930"/>
            <w:vAlign w:val="center"/>
          </w:tcPr>
          <w:p>
            <w:r>
              <w:t>= .011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Treatment(reference=1))[T.3]</w:t>
            </w:r>
          </w:p>
        </w:tc>
        <w:tc>
          <w:tcPr>
            <w:tcW w:type="dxa" w:w="1930"/>
            <w:vAlign w:val="center"/>
          </w:tcPr>
          <w:p>
            <w:r>
              <w:t>-0.103</w:t>
            </w:r>
          </w:p>
        </w:tc>
        <w:tc>
          <w:tcPr>
            <w:tcW w:type="dxa" w:w="1930"/>
            <w:vAlign w:val="center"/>
          </w:tcPr>
          <w:p>
            <w:r>
              <w:t>-9.7%</w:t>
            </w:r>
          </w:p>
        </w:tc>
        <w:tc>
          <w:tcPr>
            <w:tcW w:type="dxa" w:w="1930"/>
            <w:vAlign w:val="center"/>
          </w:tcPr>
          <w:p>
            <w:r>
              <w:t>[-17.3%, -1.6%]</w:t>
            </w:r>
          </w:p>
        </w:tc>
        <w:tc>
          <w:tcPr>
            <w:tcW w:type="dxa" w:w="1930"/>
            <w:vAlign w:val="center"/>
          </w:tcPr>
          <w:p>
            <w:r>
              <w:t>= .021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Treatment(reference='Neutral'))[T.Negative]:C(nback_level, Treatment(reference=1))[T.4]</w:t>
            </w:r>
          </w:p>
        </w:tc>
        <w:tc>
          <w:tcPr>
            <w:tcW w:type="dxa" w:w="1930"/>
            <w:vAlign w:val="center"/>
          </w:tcPr>
          <w:p>
            <w:r>
              <w:t>0.010</w:t>
            </w:r>
          </w:p>
        </w:tc>
        <w:tc>
          <w:tcPr>
            <w:tcW w:type="dxa" w:w="1930"/>
            <w:vAlign w:val="center"/>
          </w:tcPr>
          <w:p>
            <w:r>
              <w:t>1.0%</w:t>
            </w:r>
          </w:p>
        </w:tc>
        <w:tc>
          <w:tcPr>
            <w:tcW w:type="dxa" w:w="1930"/>
            <w:vAlign w:val="center"/>
          </w:tcPr>
          <w:p>
            <w:r>
              <w:t>[-7.5%, 10.3%]</w:t>
            </w:r>
          </w:p>
        </w:tc>
        <w:tc>
          <w:tcPr>
            <w:tcW w:type="dxa" w:w="1930"/>
            <w:vAlign w:val="center"/>
          </w:tcPr>
          <w:p>
            <w:r>
              <w:t>= .822</w:t>
            </w:r>
          </w:p>
        </w:tc>
      </w:tr>
      <w:tr>
        <w:tc>
          <w:tcPr>
            <w:tcW w:type="dxa" w:w="1930"/>
            <w:vAlign w:val="center"/>
          </w:tcPr>
          <w:p>
            <w:r>
              <w:t>C(emotion_condition, Treatment(reference='Neutral'))[T.Positive]:C(nback_level, Treatment(reference=1))[T.4]</w:t>
            </w:r>
          </w:p>
        </w:tc>
        <w:tc>
          <w:tcPr>
            <w:tcW w:type="dxa" w:w="1930"/>
            <w:vAlign w:val="center"/>
          </w:tcPr>
          <w:p>
            <w:r>
              <w:t>0.006</w:t>
            </w:r>
          </w:p>
        </w:tc>
        <w:tc>
          <w:tcPr>
            <w:tcW w:type="dxa" w:w="1930"/>
            <w:vAlign w:val="center"/>
          </w:tcPr>
          <w:p>
            <w:r>
              <w:t>0.6%</w:t>
            </w:r>
          </w:p>
        </w:tc>
        <w:tc>
          <w:tcPr>
            <w:tcW w:type="dxa" w:w="1930"/>
            <w:vAlign w:val="center"/>
          </w:tcPr>
          <w:p>
            <w:r>
              <w:t>[-7.9%, 9.9%]</w:t>
            </w:r>
          </w:p>
        </w:tc>
        <w:tc>
          <w:tcPr>
            <w:tcW w:type="dxa" w:w="1930"/>
            <w:vAlign w:val="center"/>
          </w:tcPr>
          <w:p>
            <w:r>
              <w:t>= .892</w:t>
            </w:r>
          </w:p>
        </w:tc>
      </w:tr>
    </w:tbl>
    <w:p/>
    <w:p>
      <w:r>
        <w:t>Table 7. Planned simple effects for reaction time at each n-back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r>
              <w:rPr>
                <w:b/>
              </w:rPr>
              <w:t>N-back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RT change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930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-19.6%</w:t>
            </w:r>
          </w:p>
        </w:tc>
        <w:tc>
          <w:tcPr>
            <w:tcW w:type="dxa" w:w="1930"/>
            <w:vAlign w:val="center"/>
          </w:tcPr>
          <w:p>
            <w:r>
              <w:t>[-23.5%, -15.5%]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-4.0%</w:t>
            </w:r>
          </w:p>
        </w:tc>
        <w:tc>
          <w:tcPr>
            <w:tcW w:type="dxa" w:w="1930"/>
            <w:vAlign w:val="center"/>
          </w:tcPr>
          <w:p>
            <w:r>
              <w:t>[-8.8%, 1.1%]</w:t>
            </w:r>
          </w:p>
        </w:tc>
        <w:tc>
          <w:tcPr>
            <w:tcW w:type="dxa" w:w="1930"/>
            <w:vAlign w:val="center"/>
          </w:tcPr>
          <w:p>
            <w:r>
              <w:t>= .120</w:t>
            </w:r>
          </w:p>
        </w:tc>
      </w:tr>
      <w:tr>
        <w:tc>
          <w:tcPr>
            <w:tcW w:type="dxa" w:w="1930"/>
            <w:vAlign w:val="center"/>
          </w:tcPr>
          <w:p>
            <w:r>
              <w:t>1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-22.8%</w:t>
            </w:r>
          </w:p>
        </w:tc>
        <w:tc>
          <w:tcPr>
            <w:tcW w:type="dxa" w:w="1930"/>
            <w:vAlign w:val="center"/>
          </w:tcPr>
          <w:p>
            <w:r>
              <w:t>[-26.6%, -18.8%]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-24.8%</w:t>
            </w:r>
          </w:p>
        </w:tc>
        <w:tc>
          <w:tcPr>
            <w:tcW w:type="dxa" w:w="1930"/>
            <w:vAlign w:val="center"/>
          </w:tcPr>
          <w:p>
            <w:r>
              <w:t>[-28.3%, -21.0%]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-2.8%</w:t>
            </w:r>
          </w:p>
        </w:tc>
        <w:tc>
          <w:tcPr>
            <w:tcW w:type="dxa" w:w="1930"/>
            <w:vAlign w:val="center"/>
          </w:tcPr>
          <w:p>
            <w:r>
              <w:t>[-7.6%, 2.1%]</w:t>
            </w:r>
          </w:p>
        </w:tc>
        <w:tc>
          <w:tcPr>
            <w:tcW w:type="dxa" w:w="1930"/>
            <w:vAlign w:val="center"/>
          </w:tcPr>
          <w:p>
            <w:r>
              <w:t>= .254</w:t>
            </w:r>
          </w:p>
        </w:tc>
      </w:tr>
      <w:tr>
        <w:tc>
          <w:tcPr>
            <w:tcW w:type="dxa" w:w="1930"/>
            <w:vAlign w:val="center"/>
          </w:tcPr>
          <w:p>
            <w:r>
              <w:t>2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-26.9%</w:t>
            </w:r>
          </w:p>
        </w:tc>
        <w:tc>
          <w:tcPr>
            <w:tcW w:type="dxa" w:w="1930"/>
            <w:vAlign w:val="center"/>
          </w:tcPr>
          <w:p>
            <w:r>
              <w:t>[-30.4%, -23.2%]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-29.3%</w:t>
            </w:r>
          </w:p>
        </w:tc>
        <w:tc>
          <w:tcPr>
            <w:tcW w:type="dxa" w:w="1930"/>
            <w:vAlign w:val="center"/>
          </w:tcPr>
          <w:p>
            <w:r>
              <w:t>[-33.9%, -24.4%]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-0.0%</w:t>
            </w:r>
          </w:p>
        </w:tc>
        <w:tc>
          <w:tcPr>
            <w:tcW w:type="dxa" w:w="1930"/>
            <w:vAlign w:val="center"/>
          </w:tcPr>
          <w:p>
            <w:r>
              <w:t>[-6.6%, 6.9%]</w:t>
            </w:r>
          </w:p>
        </w:tc>
        <w:tc>
          <w:tcPr>
            <w:tcW w:type="dxa" w:w="1930"/>
            <w:vAlign w:val="center"/>
          </w:tcPr>
          <w:p>
            <w:r>
              <w:t>= .989</w:t>
            </w:r>
          </w:p>
        </w:tc>
      </w:tr>
      <w:tr>
        <w:tc>
          <w:tcPr>
            <w:tcW w:type="dxa" w:w="1930"/>
            <w:vAlign w:val="center"/>
          </w:tcPr>
          <w:p>
            <w:r>
              <w:t>3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-29.3%</w:t>
            </w:r>
          </w:p>
        </w:tc>
        <w:tc>
          <w:tcPr>
            <w:tcW w:type="dxa" w:w="1930"/>
            <w:vAlign w:val="center"/>
          </w:tcPr>
          <w:p>
            <w:r>
              <w:t>[-33.9%, -24.4%]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Negative vs Neutral</w:t>
            </w:r>
          </w:p>
        </w:tc>
        <w:tc>
          <w:tcPr>
            <w:tcW w:type="dxa" w:w="1930"/>
            <w:vAlign w:val="center"/>
          </w:tcPr>
          <w:p>
            <w:r>
              <w:t>-19.9%</w:t>
            </w:r>
          </w:p>
        </w:tc>
        <w:tc>
          <w:tcPr>
            <w:tcW w:type="dxa" w:w="1930"/>
            <w:vAlign w:val="center"/>
          </w:tcPr>
          <w:p>
            <w:r>
              <w:t>[-25.4%, -14.1%]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Positive vs Negative</w:t>
            </w:r>
          </w:p>
        </w:tc>
        <w:tc>
          <w:tcPr>
            <w:tcW w:type="dxa" w:w="1930"/>
            <w:vAlign w:val="center"/>
          </w:tcPr>
          <w:p>
            <w:r>
              <w:t>-2.1%</w:t>
            </w:r>
          </w:p>
        </w:tc>
        <w:tc>
          <w:tcPr>
            <w:tcW w:type="dxa" w:w="1930"/>
            <w:vAlign w:val="center"/>
          </w:tcPr>
          <w:p>
            <w:r>
              <w:t>[-8.9%, 5.3%]</w:t>
            </w:r>
          </w:p>
        </w:tc>
        <w:tc>
          <w:tcPr>
            <w:tcW w:type="dxa" w:w="1930"/>
            <w:vAlign w:val="center"/>
          </w:tcPr>
          <w:p>
            <w:r>
              <w:t>= .572</w:t>
            </w:r>
          </w:p>
        </w:tc>
      </w:tr>
      <w:tr>
        <w:tc>
          <w:tcPr>
            <w:tcW w:type="dxa" w:w="1930"/>
            <w:vAlign w:val="center"/>
          </w:tcPr>
          <w:p>
            <w:r>
              <w:t>4</w:t>
            </w:r>
          </w:p>
        </w:tc>
        <w:tc>
          <w:tcPr>
            <w:tcW w:type="dxa" w:w="1930"/>
            <w:vAlign w:val="center"/>
          </w:tcPr>
          <w:p>
            <w:r>
              <w:t>Positive vs Neutral</w:t>
            </w:r>
          </w:p>
        </w:tc>
        <w:tc>
          <w:tcPr>
            <w:tcW w:type="dxa" w:w="1930"/>
            <w:vAlign w:val="center"/>
          </w:tcPr>
          <w:p>
            <w:r>
              <w:t>-21.6%</w:t>
            </w:r>
          </w:p>
        </w:tc>
        <w:tc>
          <w:tcPr>
            <w:tcW w:type="dxa" w:w="1930"/>
            <w:vAlign w:val="center"/>
          </w:tcPr>
          <w:p>
            <w:r>
              <w:t>[-26.9%, -15.9%]</w:t>
            </w:r>
          </w:p>
        </w:tc>
        <w:tc>
          <w:tcPr>
            <w:tcW w:type="dxa" w:w="1930"/>
            <w:vAlign w:val="center"/>
          </w:tcPr>
          <w:p>
            <w:r>
              <w:t>&lt; .001</w:t>
            </w:r>
          </w:p>
        </w:tc>
      </w:tr>
    </w:tbl>
    <w:p/>
    <w:p>
      <w:pPr>
        <w:pStyle w:val="Heading2"/>
      </w:pPr>
      <w:r>
        <w:t>Global Interaction Summary</w:t>
      </w:r>
    </w:p>
    <w:p>
      <w:r>
        <w:t>The global interaction tests summarize whether emotional effects varied across cognitive-load levels for each primary outcome.</w:t>
      </w:r>
    </w:p>
    <w:p>
      <w:r>
        <w:t>Table 8. Summary of global Emotion × N-back interaction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</w:rPr>
              <w:t>Global interaction p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</w:rPr>
              <w:t>Significant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</w:rPr>
              <w:t>Significant interaction terms</w:t>
            </w:r>
          </w:p>
        </w:tc>
      </w:tr>
      <w:tr>
        <w:tc>
          <w:tcPr>
            <w:tcW w:type="dxa" w:w="2412"/>
            <w:vAlign w:val="center"/>
          </w:tcPr>
          <w:p>
            <w:r>
              <w:t>Accuracy</w:t>
            </w:r>
          </w:p>
        </w:tc>
        <w:tc>
          <w:tcPr>
            <w:tcW w:type="dxa" w:w="2412"/>
            <w:vAlign w:val="center"/>
          </w:tcPr>
          <w:p>
            <w:r>
              <w:t>&lt; .001</w:t>
            </w:r>
          </w:p>
        </w:tc>
        <w:tc>
          <w:tcPr>
            <w:tcW w:type="dxa" w:w="2412"/>
            <w:vAlign w:val="center"/>
          </w:tcPr>
          <w:p>
            <w:r>
              <w:t>Yes</w:t>
            </w:r>
          </w:p>
        </w:tc>
        <w:tc>
          <w:tcPr>
            <w:tcW w:type="dxa" w:w="2412"/>
            <w:vAlign w:val="center"/>
          </w:tcPr>
          <w:p>
            <w:r>
              <w:t>2</w:t>
            </w:r>
          </w:p>
        </w:tc>
      </w:tr>
      <w:tr>
        <w:tc>
          <w:tcPr>
            <w:tcW w:type="dxa" w:w="2412"/>
            <w:vAlign w:val="center"/>
          </w:tcPr>
          <w:p>
            <w:r>
              <w:t>Reaction Time</w:t>
            </w:r>
          </w:p>
        </w:tc>
        <w:tc>
          <w:tcPr>
            <w:tcW w:type="dxa" w:w="2412"/>
            <w:vAlign w:val="center"/>
          </w:tcPr>
          <w:p>
            <w:r>
              <w:t>= .067</w:t>
            </w:r>
          </w:p>
        </w:tc>
        <w:tc>
          <w:tcPr>
            <w:tcW w:type="dxa" w:w="2412"/>
            <w:vAlign w:val="center"/>
          </w:tcPr>
          <w:p>
            <w:r>
              <w:t>No</w:t>
            </w:r>
          </w:p>
        </w:tc>
        <w:tc>
          <w:tcPr>
            <w:tcW w:type="dxa" w:w="2412"/>
            <w:vAlign w:val="center"/>
          </w:tcPr>
          <w:p>
            <w:r>
              <w:t>2</w:t>
            </w:r>
          </w:p>
        </w:tc>
      </w:tr>
    </w:tbl>
    <w:p/>
    <w:p>
      <w:pPr>
        <w:pStyle w:val="Heading1"/>
      </w:pPr>
      <w:r>
        <w:t>Decision Rules</w:t>
      </w:r>
    </w:p>
    <w:p>
      <w:pPr>
        <w:pStyle w:val="ListBullet"/>
      </w:pPr>
      <w:r>
        <w:t>H4 is supported if the Emotion × N-back interaction is statistically significant for both primary outcomes.</w:t>
      </w:r>
    </w:p>
    <w:p>
      <w:pPr>
        <w:pStyle w:val="ListBullet"/>
      </w:pPr>
      <w:r>
        <w:t>H4 is partially supported if the interaction is statistically significant for only one primary outcome.</w:t>
      </w:r>
    </w:p>
    <w:p>
      <w:pPr>
        <w:pStyle w:val="ListBullet"/>
      </w:pPr>
      <w:r>
        <w:t>H4 is not supported if neither global interaction test is statistically significant.</w:t>
      </w:r>
    </w:p>
    <w:p>
      <w:pPr>
        <w:pStyle w:val="ListBullet"/>
      </w:pPr>
      <w:r>
        <w:t>Simple-effect analyses are used to characterize the load-dependent pattern and are not treated as substitutes for the global interaction tests.</w:t>
      </w:r>
    </w:p>
    <w:p>
      <w:pPr>
        <w:pStyle w:val="Heading1"/>
      </w:pPr>
      <w:r>
        <w:t>Interpretation</w:t>
      </w:r>
    </w:p>
    <w:p>
      <w:r>
        <w:t>Hypothesis 4 was partially supported.</w:t>
      </w:r>
    </w:p>
    <w:p>
      <w:r>
        <w:t>The central prediction of Hypothesis 4 was that emotional effects on working-memory performance would depend on cognitive load rather than remaining constant across the 1-back through 4-back levels.</w:t>
      </w:r>
    </w:p>
    <w:p>
      <w:r>
        <w:t>The interaction analyses indicate whether this load-dependent modulation occurred independently for accuracy and reaction time. Significant global interactions provide evidence that the magnitude or direction of the emotional-condition effect changed as task demands increased.</w:t>
      </w:r>
    </w:p>
    <w:p>
      <w:r>
        <w:t>The simple-effect analyses clarify this interaction by identifying the specific n-back levels and emotional contrasts responsible for the overall pattern. Accordingly, the H4 results should be interpreted in terms of both the global interaction tests and the level-specific contrasts, rather than from isolated interaction coefficients alone.</w:t>
      </w:r>
    </w:p>
    <w:p>
      <w:pPr>
        <w:pStyle w:val="Heading1"/>
      </w:pPr>
      <w:r>
        <w:t>Hypothesis Assessment</w:t>
      </w:r>
    </w:p>
    <w:p>
      <w:r>
        <w:t>Conclusion: Hypothesis 4 was partially supported. The results indicate whether the influence of emotional condition on working-memory performance changed as cognitive load increased from 1-back to 4-back.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