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6205" w14:textId="77777777" w:rsidR="00F86FAD" w:rsidRPr="00D72345" w:rsidRDefault="00000000">
      <w:pPr>
        <w:spacing w:before="1840" w:after="360"/>
        <w:jc w:val="center"/>
        <w:rPr>
          <w:lang w:val="fr-FR"/>
        </w:rPr>
      </w:pPr>
      <w:r w:rsidRPr="00D72345">
        <w:rPr>
          <w:rFonts w:eastAsia="Calibri"/>
          <w:b/>
          <w:color w:val="8A6400"/>
          <w:sz w:val="21"/>
          <w:lang w:val="fr-FR"/>
        </w:rPr>
        <w:t>FORMATION — ANALYSE MACROÉCONOMIQUE</w:t>
      </w:r>
    </w:p>
    <w:p w14:paraId="3E6D4111" w14:textId="77777777" w:rsidR="00F86FAD" w:rsidRPr="00D72345" w:rsidRDefault="00000000">
      <w:pPr>
        <w:jc w:val="center"/>
        <w:rPr>
          <w:lang w:val="fr-FR"/>
        </w:rPr>
      </w:pPr>
      <w:r w:rsidRPr="00D72345">
        <w:rPr>
          <w:rFonts w:eastAsia="Calibri"/>
          <w:b/>
          <w:color w:val="0B2545"/>
          <w:sz w:val="58"/>
          <w:lang w:val="fr-FR"/>
        </w:rPr>
        <w:t>Les banques centrales</w:t>
      </w:r>
    </w:p>
    <w:p w14:paraId="00660E8F" w14:textId="77777777" w:rsidR="00F86FAD" w:rsidRPr="00D72345" w:rsidRDefault="00000000">
      <w:pPr>
        <w:spacing w:after="440"/>
        <w:jc w:val="center"/>
        <w:rPr>
          <w:lang w:val="fr-FR"/>
        </w:rPr>
      </w:pPr>
      <w:r w:rsidRPr="00D72345">
        <w:rPr>
          <w:rFonts w:eastAsia="Calibri"/>
          <w:b/>
          <w:color w:val="1F4D78"/>
          <w:sz w:val="33"/>
          <w:lang w:val="fr-FR"/>
        </w:rPr>
        <w:t>Fonctionnement · économie · marchés financiers</w:t>
      </w:r>
    </w:p>
    <w:p w14:paraId="66492E35" w14:textId="77777777" w:rsidR="00F86FAD" w:rsidRPr="00D72345" w:rsidRDefault="00000000">
      <w:pPr>
        <w:spacing w:after="1400"/>
        <w:ind w:left="720" w:right="720"/>
        <w:jc w:val="center"/>
        <w:rPr>
          <w:lang w:val="fr-FR"/>
        </w:rPr>
      </w:pPr>
      <w:r w:rsidRPr="00D72345">
        <w:rPr>
          <w:rFonts w:eastAsia="Calibri"/>
          <w:i/>
          <w:color w:val="8A6400"/>
          <w:sz w:val="26"/>
          <w:lang w:val="fr-FR"/>
        </w:rPr>
        <w:t>Une banque centrale ne fixe pas directement le prix des actions : elle modifie le prix du temps, du crédit et du risque.</w:t>
      </w:r>
    </w:p>
    <w:p w14:paraId="207E922E" w14:textId="37A08F93" w:rsidR="00F86FAD" w:rsidRDefault="00000000">
      <w:pPr>
        <w:spacing w:after="100"/>
        <w:jc w:val="center"/>
      </w:pPr>
      <w:r>
        <w:rPr>
          <w:rFonts w:eastAsia="Calibri"/>
          <w:b/>
          <w:color w:val="667085"/>
          <w:sz w:val="18"/>
        </w:rPr>
        <w:t>VOLUME 4 · PARTIE 1 · NIVEAU DÉBUTANT · ÉDITION 2026</w:t>
      </w:r>
    </w:p>
    <w:p w14:paraId="32BAB84B" w14:textId="77777777" w:rsidR="00F86FAD" w:rsidRPr="00D72345" w:rsidRDefault="00000000">
      <w:pPr>
        <w:jc w:val="center"/>
        <w:rPr>
          <w:lang w:val="fr-FR"/>
        </w:rPr>
      </w:pPr>
      <w:r w:rsidRPr="00D72345">
        <w:rPr>
          <w:rFonts w:eastAsia="Calibri"/>
          <w:i/>
          <w:color w:val="667085"/>
          <w:sz w:val="18"/>
          <w:lang w:val="fr-FR"/>
        </w:rPr>
        <w:t xml:space="preserve">Deux études de cas illustrées par des graphiques </w:t>
      </w:r>
      <w:proofErr w:type="spellStart"/>
      <w:r w:rsidRPr="00D72345">
        <w:rPr>
          <w:rFonts w:eastAsia="Calibri"/>
          <w:i/>
          <w:color w:val="667085"/>
          <w:sz w:val="18"/>
          <w:lang w:val="fr-FR"/>
        </w:rPr>
        <w:t>TradingView</w:t>
      </w:r>
      <w:proofErr w:type="spellEnd"/>
    </w:p>
    <w:p w14:paraId="403CD6F5" w14:textId="77777777" w:rsidR="00F86FAD" w:rsidRPr="00D72345" w:rsidRDefault="00000000">
      <w:pPr>
        <w:rPr>
          <w:lang w:val="fr-FR"/>
        </w:rPr>
      </w:pPr>
      <w:r w:rsidRPr="00D72345">
        <w:rPr>
          <w:lang w:val="fr-FR"/>
        </w:rPr>
        <w:br w:type="page"/>
      </w:r>
    </w:p>
    <w:p w14:paraId="790F5A4E" w14:textId="77777777" w:rsidR="00F86FAD" w:rsidRPr="00D72345" w:rsidRDefault="00000000">
      <w:pPr>
        <w:pStyle w:val="Titre1"/>
        <w:rPr>
          <w:lang w:val="fr-FR"/>
        </w:rPr>
      </w:pPr>
      <w:r w:rsidRPr="00D72345">
        <w:rPr>
          <w:lang w:val="fr-FR"/>
        </w:rPr>
        <w:lastRenderedPageBreak/>
        <w:t>Mode d'emploi du cours</w:t>
      </w:r>
    </w:p>
    <w:p w14:paraId="5D08525A" w14:textId="77777777" w:rsidR="00F86FAD" w:rsidRPr="00D72345" w:rsidRDefault="00000000">
      <w:pPr>
        <w:rPr>
          <w:lang w:val="fr-FR"/>
        </w:rPr>
      </w:pPr>
      <w:r>
        <w:rPr>
          <w:rFonts w:eastAsia="Calibri"/>
          <w:lang w:val="fr-FR"/>
        </w:rPr>
        <w:t>Cette Partie 1 ouvre le Volume 4. Les volumes précédents ont posé les bases de l'investissement, du risque et de la lecture du marché. Ici, tu vas comprendre l'institution qui fixe l'orientation monétaire. La Partie 2 appliquera ensuite ce cadre aux données d'inflation, d'emploi, de croissance et de consommation.</w:t>
      </w:r>
    </w:p>
    <w:p w14:paraId="234C35D1" w14:textId="77777777" w:rsidR="00F86FAD" w:rsidRPr="00D72345" w:rsidRDefault="00000000">
      <w:pPr>
        <w:keepLines/>
        <w:pBdr>
          <w:left w:val="single" w:sz="18" w:space="8" w:color="2E74B5"/>
        </w:pBdr>
        <w:shd w:val="clear" w:color="auto" w:fill="EEF4FA"/>
        <w:spacing w:before="100" w:after="200" w:line="288" w:lineRule="auto"/>
        <w:ind w:left="173" w:right="115"/>
        <w:rPr>
          <w:lang w:val="fr-FR"/>
        </w:rPr>
      </w:pPr>
      <w:r w:rsidRPr="00D72345">
        <w:rPr>
          <w:rFonts w:eastAsia="Calibri"/>
          <w:b/>
          <w:color w:val="2E74B5"/>
          <w:sz w:val="20"/>
          <w:lang w:val="fr-FR"/>
        </w:rPr>
        <w:t xml:space="preserve">IDÉE </w:t>
      </w:r>
      <w:proofErr w:type="gramStart"/>
      <w:r w:rsidRPr="00D72345">
        <w:rPr>
          <w:rFonts w:eastAsia="Calibri"/>
          <w:b/>
          <w:color w:val="2E74B5"/>
          <w:sz w:val="20"/>
          <w:lang w:val="fr-FR"/>
        </w:rPr>
        <w:t xml:space="preserve">CENTRALE  </w:t>
      </w:r>
      <w:r w:rsidRPr="00D72345">
        <w:rPr>
          <w:rFonts w:eastAsia="Calibri"/>
          <w:sz w:val="21"/>
          <w:lang w:val="fr-FR"/>
        </w:rPr>
        <w:t>Le</w:t>
      </w:r>
      <w:proofErr w:type="gramEnd"/>
      <w:r w:rsidRPr="00D72345">
        <w:rPr>
          <w:rFonts w:eastAsia="Calibri"/>
          <w:sz w:val="21"/>
          <w:lang w:val="fr-FR"/>
        </w:rPr>
        <w:t xml:space="preserve"> marché ne réagit pas seulement à une hausse ou à une baisse de taux. Il compare la décision, le communiqué, les prévisions et le discours à ce qu'il avait déjà anticipé.</w:t>
      </w:r>
    </w:p>
    <w:p w14:paraId="3DB954B7" w14:textId="77777777" w:rsidR="00F86FAD" w:rsidRPr="00D72345" w:rsidRDefault="00000000">
      <w:pPr>
        <w:pStyle w:val="Titre2"/>
        <w:rPr>
          <w:lang w:val="fr-FR"/>
        </w:rPr>
      </w:pPr>
      <w:r>
        <w:rPr>
          <w:lang w:val="fr-FR"/>
        </w:rPr>
        <w:t>Objectifs de la Partie 1</w:t>
      </w:r>
    </w:p>
    <w:p w14:paraId="09F3B664" w14:textId="77777777" w:rsidR="00F86FAD" w:rsidRPr="00D72345" w:rsidRDefault="00000000">
      <w:pPr>
        <w:numPr>
          <w:ilvl w:val="0"/>
          <w:numId w:val="1"/>
        </w:numPr>
        <w:spacing w:after="80" w:line="300" w:lineRule="auto"/>
        <w:rPr>
          <w:lang w:val="fr-FR"/>
        </w:rPr>
      </w:pPr>
      <w:r w:rsidRPr="00D72345">
        <w:rPr>
          <w:rFonts w:eastAsia="Calibri"/>
          <w:color w:val="111111"/>
          <w:lang w:val="fr-FR"/>
        </w:rPr>
        <w:t>Distinguer une banque centrale d'une banque commerciale et d'un gouvernement.</w:t>
      </w:r>
    </w:p>
    <w:p w14:paraId="65A8DFDC" w14:textId="77777777" w:rsidR="00F86FAD" w:rsidRPr="00D72345" w:rsidRDefault="00000000">
      <w:pPr>
        <w:numPr>
          <w:ilvl w:val="0"/>
          <w:numId w:val="1"/>
        </w:numPr>
        <w:spacing w:after="80" w:line="300" w:lineRule="auto"/>
        <w:rPr>
          <w:lang w:val="fr-FR"/>
        </w:rPr>
      </w:pPr>
      <w:r w:rsidRPr="00D72345">
        <w:rPr>
          <w:rFonts w:eastAsia="Calibri"/>
          <w:color w:val="111111"/>
          <w:lang w:val="fr-FR"/>
        </w:rPr>
        <w:t>Expliquer ses objectifs : stabilité des prix, emploi selon le mandat, stabilité financière et bon fonctionnement des paiements.</w:t>
      </w:r>
    </w:p>
    <w:p w14:paraId="1AA0EA58" w14:textId="77777777" w:rsidR="00F86FAD" w:rsidRPr="00D72345" w:rsidRDefault="00000000">
      <w:pPr>
        <w:numPr>
          <w:ilvl w:val="0"/>
          <w:numId w:val="1"/>
        </w:numPr>
        <w:spacing w:after="80" w:line="300" w:lineRule="auto"/>
        <w:rPr>
          <w:lang w:val="fr-FR"/>
        </w:rPr>
      </w:pPr>
      <w:proofErr w:type="spellStart"/>
      <w:proofErr w:type="spellEnd"/>
      <w:r>
        <w:rPr>
          <w:rFonts w:eastAsia="Calibri"/>
          <w:color w:val="111111"/>
          <w:lang w:val="fr-FR"/>
        </w:rPr>
        <w:t>Comprendre d'abord les taux directeurs, les réserves et les opérations de marché, puis situer le QE, le QT et le YCC comme outils d'approfondissement.</w:t>
      </w:r>
    </w:p>
    <w:p w14:paraId="2A4AE944" w14:textId="77777777" w:rsidR="00F86FAD" w:rsidRPr="00D72345" w:rsidRDefault="00000000">
      <w:pPr>
        <w:numPr>
          <w:ilvl w:val="0"/>
          <w:numId w:val="1"/>
        </w:numPr>
        <w:spacing w:after="80" w:line="300" w:lineRule="auto"/>
        <w:rPr>
          <w:lang w:val="fr-FR"/>
        </w:rPr>
      </w:pPr>
      <w:r w:rsidRPr="00D72345">
        <w:rPr>
          <w:rFonts w:eastAsia="Calibri"/>
          <w:color w:val="111111"/>
          <w:lang w:val="fr-FR"/>
        </w:rPr>
        <w:t>Suivre la chaîne de transmission vers le crédit, la demande, l'emploi et l'inflation.</w:t>
      </w:r>
    </w:p>
    <w:p w14:paraId="16E3B17E" w14:textId="77777777" w:rsidR="00F86FAD" w:rsidRPr="00D72345" w:rsidRDefault="00000000">
      <w:pPr>
        <w:numPr>
          <w:ilvl w:val="0"/>
          <w:numId w:val="1"/>
        </w:numPr>
        <w:spacing w:after="80" w:line="300" w:lineRule="auto"/>
        <w:rPr>
          <w:lang w:val="fr-FR"/>
        </w:rPr>
      </w:pPr>
      <w:r w:rsidRPr="00D72345">
        <w:rPr>
          <w:rFonts w:eastAsia="Calibri"/>
          <w:color w:val="111111"/>
          <w:lang w:val="fr-FR"/>
        </w:rPr>
        <w:t>Lire l'effet probable d'une décision sur les obligations, les actions, les devises, l'or et les actifs risqués.</w:t>
      </w:r>
    </w:p>
    <w:p w14:paraId="381CF5CE" w14:textId="77777777" w:rsidR="00F86FAD" w:rsidRPr="00D72345" w:rsidRDefault="00000000">
      <w:pPr>
        <w:numPr>
          <w:ilvl w:val="0"/>
          <w:numId w:val="1"/>
        </w:numPr>
        <w:spacing w:after="80" w:line="300" w:lineRule="auto"/>
        <w:rPr>
          <w:lang w:val="fr-FR"/>
        </w:rPr>
      </w:pPr>
      <w:r w:rsidRPr="00D72345">
        <w:rPr>
          <w:rFonts w:eastAsia="Calibri"/>
          <w:color w:val="111111"/>
          <w:lang w:val="fr-FR"/>
        </w:rPr>
        <w:t>Distinguer le niveau des taux, leur direction, leur vitesse et surtout l'écart avec les attentes.</w:t>
      </w:r>
    </w:p>
    <w:p w14:paraId="4A0EC12B" w14:textId="77777777" w:rsidR="00F86FAD" w:rsidRPr="00D72345" w:rsidRDefault="00000000">
      <w:pPr>
        <w:numPr>
          <w:ilvl w:val="0"/>
          <w:numId w:val="1"/>
        </w:numPr>
        <w:spacing w:after="80" w:line="300" w:lineRule="auto"/>
        <w:rPr>
          <w:lang w:val="fr-FR"/>
        </w:rPr>
      </w:pPr>
      <w:r w:rsidRPr="00D72345">
        <w:rPr>
          <w:rFonts w:eastAsia="Calibri"/>
          <w:color w:val="111111"/>
          <w:lang w:val="fr-FR"/>
        </w:rPr>
        <w:t>Analyser une décision avec une méthode simple sans confondre réaction immédiate et effet durable.</w:t>
      </w:r>
    </w:p>
    <w:p w14:paraId="33156697" w14:textId="77777777" w:rsidR="00F86FAD" w:rsidRDefault="00000000">
      <w:pPr>
        <w:pStyle w:val="Titre2"/>
      </w:pPr>
      <w:r>
        <w:t>Parcours de la Partie 1</w:t>
      </w:r>
    </w:p>
    <w:p w14:paraId="570D6BC5" w14:textId="77777777" w:rsidR="00F86FAD" w:rsidRPr="00D72345" w:rsidRDefault="00000000">
      <w:pPr>
        <w:numPr>
          <w:ilvl w:val="0"/>
          <w:numId w:val="2"/>
        </w:numPr>
        <w:spacing w:after="80" w:line="300" w:lineRule="auto"/>
        <w:rPr>
          <w:lang w:val="fr-FR"/>
        </w:rPr>
      </w:pPr>
      <w:r w:rsidRPr="00D72345">
        <w:rPr>
          <w:rFonts w:eastAsia="Calibri"/>
          <w:color w:val="111111"/>
          <w:lang w:val="fr-FR"/>
        </w:rPr>
        <w:t>Rôle et importance des banques centrales.</w:t>
      </w:r>
    </w:p>
    <w:p w14:paraId="38EC5842" w14:textId="77777777" w:rsidR="00F86FAD" w:rsidRPr="00D72345" w:rsidRDefault="00000000">
      <w:pPr>
        <w:numPr>
          <w:ilvl w:val="0"/>
          <w:numId w:val="2"/>
        </w:numPr>
        <w:spacing w:after="80" w:line="300" w:lineRule="auto"/>
        <w:rPr>
          <w:lang w:val="fr-FR"/>
        </w:rPr>
      </w:pPr>
      <w:r w:rsidRPr="00D72345">
        <w:rPr>
          <w:rFonts w:eastAsia="Calibri"/>
          <w:color w:val="111111"/>
          <w:lang w:val="fr-FR"/>
        </w:rPr>
        <w:t>Organisation d'une décision de politique monétaire.</w:t>
      </w:r>
    </w:p>
    <w:p w14:paraId="5E02A0D6" w14:textId="77777777" w:rsidR="00F86FAD" w:rsidRPr="00D72345" w:rsidRDefault="00000000">
      <w:pPr>
        <w:numPr>
          <w:ilvl w:val="0"/>
          <w:numId w:val="2"/>
        </w:numPr>
        <w:spacing w:after="80" w:line="300" w:lineRule="auto"/>
        <w:rPr>
          <w:lang w:val="fr-FR"/>
        </w:rPr>
      </w:pPr>
      <w:r w:rsidRPr="00D72345">
        <w:rPr>
          <w:rFonts w:eastAsia="Calibri"/>
          <w:color w:val="111111"/>
          <w:lang w:val="fr-FR"/>
        </w:rPr>
        <w:t>Outils conventionnels et non conventionnels.</w:t>
      </w:r>
    </w:p>
    <w:p w14:paraId="25E108D0" w14:textId="77777777" w:rsidR="00F86FAD" w:rsidRDefault="00000000">
      <w:pPr>
        <w:numPr>
          <w:ilvl w:val="0"/>
          <w:numId w:val="2"/>
        </w:numPr>
        <w:spacing w:after="80" w:line="300" w:lineRule="auto"/>
      </w:pPr>
      <w:r>
        <w:rPr>
          <w:rFonts w:eastAsia="Calibri"/>
          <w:color w:val="111111"/>
        </w:rPr>
        <w:t xml:space="preserve">Transmission vers </w:t>
      </w:r>
      <w:proofErr w:type="spellStart"/>
      <w:r>
        <w:rPr>
          <w:rFonts w:eastAsia="Calibri"/>
          <w:color w:val="111111"/>
        </w:rPr>
        <w:t>l'économie</w:t>
      </w:r>
      <w:proofErr w:type="spellEnd"/>
      <w:r>
        <w:rPr>
          <w:rFonts w:eastAsia="Calibri"/>
          <w:color w:val="111111"/>
        </w:rPr>
        <w:t xml:space="preserve"> </w:t>
      </w:r>
      <w:proofErr w:type="spellStart"/>
      <w:r>
        <w:rPr>
          <w:rFonts w:eastAsia="Calibri"/>
          <w:color w:val="111111"/>
        </w:rPr>
        <w:t>réelle</w:t>
      </w:r>
      <w:proofErr w:type="spellEnd"/>
      <w:r>
        <w:rPr>
          <w:rFonts w:eastAsia="Calibri"/>
          <w:color w:val="111111"/>
        </w:rPr>
        <w:t>.</w:t>
      </w:r>
    </w:p>
    <w:p w14:paraId="451BC996" w14:textId="77777777" w:rsidR="00F86FAD" w:rsidRDefault="00000000">
      <w:pPr>
        <w:numPr>
          <w:ilvl w:val="0"/>
          <w:numId w:val="2"/>
        </w:numPr>
        <w:spacing w:after="80" w:line="300" w:lineRule="auto"/>
      </w:pPr>
      <w:r>
        <w:rPr>
          <w:rFonts w:eastAsia="Calibri"/>
          <w:color w:val="111111"/>
        </w:rPr>
        <w:t>Réactions des différents marchés.</w:t>
      </w:r>
    </w:p>
    <w:p w14:paraId="561157E8" w14:textId="77777777" w:rsidR="00F86FAD" w:rsidRPr="00D72345" w:rsidRDefault="00000000">
      <w:pPr>
        <w:numPr>
          <w:ilvl w:val="0"/>
          <w:numId w:val="2"/>
        </w:numPr>
        <w:spacing w:after="80" w:line="300" w:lineRule="auto"/>
        <w:rPr>
          <w:lang w:val="fr-FR"/>
        </w:rPr>
      </w:pPr>
      <w:r w:rsidRPr="00D72345">
        <w:rPr>
          <w:rFonts w:eastAsia="Calibri"/>
          <w:color w:val="111111"/>
          <w:lang w:val="fr-FR"/>
        </w:rPr>
        <w:t>Deux cas réels : Fed en août 2022 et Banque du Japon en décembre 2022.</w:t>
      </w:r>
    </w:p>
    <w:p w14:paraId="72664601" w14:textId="77777777" w:rsidR="00F86FAD" w:rsidRPr="00D72345" w:rsidRDefault="00000000">
      <w:pPr>
        <w:numPr>
          <w:ilvl w:val="0"/>
          <w:numId w:val="2"/>
        </w:numPr>
        <w:spacing w:after="80" w:line="300" w:lineRule="auto"/>
        <w:rPr>
          <w:lang w:val="fr-FR"/>
        </w:rPr>
      </w:pPr>
      <w:r w:rsidRPr="00D72345">
        <w:rPr>
          <w:rFonts w:eastAsia="Calibri"/>
          <w:color w:val="111111"/>
          <w:lang w:val="fr-FR"/>
        </w:rPr>
        <w:t>Méthode d'analyse, erreurs fréquentes et glossaire.</w:t>
      </w:r>
    </w:p>
    <w:p w14:paraId="589895B0" w14:textId="77777777" w:rsidR="00F86FAD" w:rsidRPr="00D72345" w:rsidRDefault="00000000">
      <w:pPr>
        <w:keepLines/>
        <w:pBdr>
          <w:left w:val="single" w:sz="18" w:space="8" w:color="A61B1B"/>
        </w:pBdr>
        <w:shd w:val="clear" w:color="auto" w:fill="FCEDED"/>
        <w:spacing w:before="100" w:after="200" w:line="288" w:lineRule="auto"/>
        <w:ind w:left="173" w:right="115"/>
        <w:rPr>
          <w:lang w:val="fr-FR"/>
        </w:rPr>
      </w:pPr>
      <w:r w:rsidRPr="00D72345">
        <w:rPr>
          <w:rFonts w:eastAsia="Calibri"/>
          <w:b/>
          <w:color w:val="A61B1B"/>
          <w:sz w:val="20"/>
          <w:lang w:val="fr-FR"/>
        </w:rPr>
        <w:t xml:space="preserve">CADRE </w:t>
      </w:r>
      <w:proofErr w:type="gramStart"/>
      <w:r w:rsidRPr="00D72345">
        <w:rPr>
          <w:rFonts w:eastAsia="Calibri"/>
          <w:b/>
          <w:color w:val="A61B1B"/>
          <w:sz w:val="20"/>
          <w:lang w:val="fr-FR"/>
        </w:rPr>
        <w:t xml:space="preserve">PÉDAGOGIQUE  </w:t>
      </w:r>
      <w:r w:rsidRPr="00D72345">
        <w:rPr>
          <w:rFonts w:eastAsia="Calibri"/>
          <w:sz w:val="21"/>
          <w:lang w:val="fr-FR"/>
        </w:rPr>
        <w:t>Les</w:t>
      </w:r>
      <w:proofErr w:type="gramEnd"/>
      <w:r w:rsidRPr="00D72345">
        <w:rPr>
          <w:rFonts w:eastAsia="Calibri"/>
          <w:sz w:val="21"/>
          <w:lang w:val="fr-FR"/>
        </w:rPr>
        <w:t xml:space="preserve"> exemples expliquent des mécanismes historiques. Ils ne constituent ni une recommandation d'achat ou de vente, ni une prévision de la prochaine décision.</w:t>
      </w:r>
    </w:p>
    <w:p w14:paraId="70B36E8E" w14:textId="77777777" w:rsidR="00F86FAD" w:rsidRPr="00D72345" w:rsidRDefault="00000000">
      <w:pPr>
        <w:rPr>
          <w:lang w:val="fr-FR"/>
        </w:rPr>
      </w:pPr>
      <w:r w:rsidRPr="00D72345">
        <w:rPr>
          <w:lang w:val="fr-FR"/>
        </w:rPr>
        <w:br w:type="page"/>
      </w:r>
    </w:p>
    <w:p w14:paraId="12C1F168" w14:textId="77777777" w:rsidR="00F86FAD" w:rsidRPr="00D72345" w:rsidRDefault="00000000">
      <w:pPr>
        <w:pStyle w:val="Titre1"/>
        <w:keepNext/>
        <w:spacing w:after="140"/>
        <w:rPr>
          <w:lang w:val="fr-FR"/>
        </w:rPr>
      </w:pPr>
      <w:r>
        <w:rPr>
          <w:rFonts w:eastAsia="Calibri"/>
          <w:b/>
          <w:color w:val="0B2545"/>
          <w:sz w:val="48"/>
          <w:lang w:val="fr-FR"/>
        </w:rPr>
        <w:t>1. Qu'est-ce qu'une banque centrale ?</w:t>
      </w:r>
    </w:p>
    <w:p w14:paraId="3556EEC2" w14:textId="77777777" w:rsidR="00F86FAD" w:rsidRPr="00D72345" w:rsidRDefault="00000000">
      <w:pPr>
        <w:keepNext/>
        <w:spacing w:after="320"/>
        <w:rPr>
          <w:lang w:val="fr-FR"/>
        </w:rPr>
      </w:pPr>
      <w:r w:rsidRPr="00D72345">
        <w:rPr>
          <w:rFonts w:eastAsia="Calibri"/>
          <w:i/>
          <w:color w:val="1F4D78"/>
          <w:sz w:val="26"/>
          <w:lang w:val="fr-FR"/>
        </w:rPr>
        <w:t>L'institution qui protège la monnaie et organise les conditions monétaires.</w:t>
      </w:r>
    </w:p>
    <w:p w14:paraId="6312695B" w14:textId="77777777" w:rsidR="00F86FAD" w:rsidRPr="00D72345" w:rsidRDefault="00000000">
      <w:pPr>
        <w:pStyle w:val="Titre2"/>
        <w:rPr>
          <w:lang w:val="fr-FR"/>
        </w:rPr>
      </w:pPr>
      <w:r w:rsidRPr="00D72345">
        <w:rPr>
          <w:lang w:val="fr-FR"/>
        </w:rPr>
        <w:t>1.1 Définition simple</w:t>
      </w:r>
    </w:p>
    <w:p w14:paraId="5460C2F1" w14:textId="77777777" w:rsidR="00F86FAD" w:rsidRPr="00D72345" w:rsidRDefault="00000000">
      <w:pPr>
        <w:rPr>
          <w:lang w:val="fr-FR"/>
        </w:rPr>
      </w:pPr>
      <w:r w:rsidRPr="00D72345">
        <w:rPr>
          <w:rFonts w:eastAsia="Calibri"/>
          <w:lang w:val="fr-FR"/>
        </w:rPr>
        <w:t>Une banque centrale est l'institution au centre du système monétaire d'un pays ou d'une zone monétaire. Elle émet la monnaie centrale, tient les comptes de réserve des banques, contribue au fonctionnement des paiements et conduit la politique monétaire. Son objectif n'est pas de vendre des crédits au public ni de maximiser un bénéfice.</w:t>
      </w:r>
    </w:p>
    <w:p w14:paraId="1F236D32" w14:textId="77777777" w:rsidR="00F86FAD" w:rsidRPr="00D72345" w:rsidRDefault="00000000">
      <w:pPr>
        <w:keepLines/>
        <w:pBdr>
          <w:left w:val="single" w:sz="18" w:space="8" w:color="8A6400"/>
        </w:pBdr>
        <w:shd w:val="clear" w:color="auto" w:fill="FFF7DD"/>
        <w:spacing w:before="100" w:after="200" w:line="288" w:lineRule="auto"/>
        <w:ind w:left="173" w:right="115"/>
        <w:rPr>
          <w:lang w:val="fr-FR"/>
        </w:rPr>
      </w:pPr>
      <w:r w:rsidRPr="00D72345">
        <w:rPr>
          <w:rFonts w:eastAsia="Calibri"/>
          <w:b/>
          <w:color w:val="8A6400"/>
          <w:sz w:val="20"/>
          <w:lang w:val="fr-FR"/>
        </w:rPr>
        <w:t xml:space="preserve">IMAGE </w:t>
      </w:r>
      <w:proofErr w:type="gramStart"/>
      <w:r w:rsidRPr="00D72345">
        <w:rPr>
          <w:rFonts w:eastAsia="Calibri"/>
          <w:b/>
          <w:color w:val="8A6400"/>
          <w:sz w:val="20"/>
          <w:lang w:val="fr-FR"/>
        </w:rPr>
        <w:t xml:space="preserve">MENTALE  </w:t>
      </w:r>
      <w:r w:rsidRPr="00D72345">
        <w:rPr>
          <w:rFonts w:eastAsia="Calibri"/>
          <w:sz w:val="21"/>
          <w:lang w:val="fr-FR"/>
        </w:rPr>
        <w:t>Les</w:t>
      </w:r>
      <w:proofErr w:type="gramEnd"/>
      <w:r w:rsidRPr="00D72345">
        <w:rPr>
          <w:rFonts w:eastAsia="Calibri"/>
          <w:sz w:val="21"/>
          <w:lang w:val="fr-FR"/>
        </w:rPr>
        <w:t xml:space="preserve"> banques commerciales sont les véhicules qui distribuent le crédit. La banque centrale règle une partie des conditions de circulation : coût du financement, quantité de réserves et sécurité du réseau de paiements.</w:t>
      </w:r>
    </w:p>
    <w:p w14:paraId="2D20E23E" w14:textId="77777777" w:rsidR="00F86FAD" w:rsidRPr="00D72345" w:rsidRDefault="00000000">
      <w:pPr>
        <w:pStyle w:val="Titre2"/>
        <w:rPr>
          <w:lang w:val="fr-FR"/>
        </w:rPr>
      </w:pPr>
      <w:r w:rsidRPr="00D72345">
        <w:rPr>
          <w:lang w:val="fr-FR"/>
        </w:rPr>
        <w:t>1.2 Trois institutions à ne pas confondre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800"/>
        <w:gridCol w:w="2500"/>
        <w:gridCol w:w="3000"/>
        <w:gridCol w:w="2060"/>
      </w:tblGrid>
      <w:tr w:rsidR="00F86FAD" w:rsidRPr="00D72345" w14:paraId="2ED4525D" w14:textId="77777777">
        <w:trPr>
          <w:cantSplit/>
          <w:tblHeader/>
        </w:trPr>
        <w:tc>
          <w:tcPr>
            <w:tcW w:w="1800" w:type="dxa"/>
            <w:shd w:val="clear" w:color="auto" w:fill="F4F6F9"/>
            <w:tcMar>
              <w:top w:w="80" w:type="dxa"/>
              <w:left w:w="120" w:type="dxa"/>
              <w:bottom w:w="80" w:type="dxa"/>
              <w:right w:w="120" w:type="dxa"/>
            </w:tcMar>
            <w:vAlign w:val="center"/>
          </w:tcPr>
          <w:p w14:paraId="61943E83" w14:textId="77777777" w:rsidR="00F86FAD" w:rsidRDefault="00000000">
            <w:pPr>
              <w:spacing w:after="0" w:line="283" w:lineRule="auto"/>
              <w:jc w:val="left"/>
            </w:pPr>
            <w:r>
              <w:rPr>
                <w:rFonts w:eastAsia="Calibri"/>
                <w:b/>
                <w:color w:val="0B2545"/>
                <w:sz w:val="19"/>
              </w:rPr>
              <w:t>Institution</w:t>
            </w:r>
          </w:p>
        </w:tc>
        <w:tc>
          <w:tcPr>
            <w:tcW w:w="2500" w:type="dxa"/>
            <w:shd w:val="clear" w:color="auto" w:fill="F4F6F9"/>
            <w:tcMar>
              <w:top w:w="80" w:type="dxa"/>
              <w:left w:w="120" w:type="dxa"/>
              <w:bottom w:w="80" w:type="dxa"/>
              <w:right w:w="120" w:type="dxa"/>
            </w:tcMar>
            <w:vAlign w:val="center"/>
          </w:tcPr>
          <w:p w14:paraId="0F2F0734" w14:textId="77777777" w:rsidR="00F86FAD" w:rsidRDefault="00000000">
            <w:pPr>
              <w:spacing w:after="0" w:line="283" w:lineRule="auto"/>
              <w:jc w:val="left"/>
            </w:pPr>
            <w:r>
              <w:rPr>
                <w:rFonts w:eastAsia="Calibri"/>
                <w:b/>
                <w:color w:val="0B2545"/>
                <w:sz w:val="19"/>
              </w:rPr>
              <w:t>Rôle principal</w:t>
            </w:r>
          </w:p>
        </w:tc>
        <w:tc>
          <w:tcPr>
            <w:tcW w:w="3000" w:type="dxa"/>
            <w:shd w:val="clear" w:color="auto" w:fill="F4F6F9"/>
            <w:tcMar>
              <w:top w:w="80" w:type="dxa"/>
              <w:left w:w="120" w:type="dxa"/>
              <w:bottom w:w="80" w:type="dxa"/>
              <w:right w:w="120" w:type="dxa"/>
            </w:tcMar>
            <w:vAlign w:val="center"/>
          </w:tcPr>
          <w:p w14:paraId="1A3400AD" w14:textId="77777777" w:rsidR="00F86FAD" w:rsidRDefault="00000000">
            <w:pPr>
              <w:spacing w:after="0" w:line="283" w:lineRule="auto"/>
              <w:jc w:val="left"/>
            </w:pPr>
            <w:r>
              <w:rPr>
                <w:rFonts w:eastAsia="Calibri"/>
                <w:b/>
                <w:color w:val="0B2545"/>
                <w:sz w:val="19"/>
              </w:rPr>
              <w:t>Ce qu'elle décide</w:t>
            </w:r>
          </w:p>
        </w:tc>
        <w:tc>
          <w:tcPr>
            <w:tcW w:w="2060" w:type="dxa"/>
            <w:shd w:val="clear" w:color="auto" w:fill="F4F6F9"/>
            <w:tcMar>
              <w:top w:w="80" w:type="dxa"/>
              <w:left w:w="120" w:type="dxa"/>
              <w:bottom w:w="80" w:type="dxa"/>
              <w:right w:w="120" w:type="dxa"/>
            </w:tcMar>
            <w:vAlign w:val="center"/>
          </w:tcPr>
          <w:p w14:paraId="580ABBD2" w14:textId="77777777" w:rsidR="00F86FAD" w:rsidRPr="00D72345" w:rsidRDefault="00000000">
            <w:pPr>
              <w:spacing w:after="0" w:line="283" w:lineRule="auto"/>
              <w:jc w:val="left"/>
              <w:rPr>
                <w:lang w:val="fr-FR"/>
              </w:rPr>
            </w:pPr>
            <w:r w:rsidRPr="00D72345">
              <w:rPr>
                <w:rFonts w:eastAsia="Calibri"/>
                <w:b/>
                <w:color w:val="0B2545"/>
                <w:sz w:val="19"/>
                <w:lang w:val="fr-FR"/>
              </w:rPr>
              <w:t>Ce qu'elle ne fait pas directement</w:t>
            </w:r>
          </w:p>
        </w:tc>
      </w:tr>
      <w:tr w:rsidR="00F86FAD" w:rsidRPr="00D72345" w14:paraId="48FE9909" w14:textId="77777777">
        <w:trPr>
          <w:cantSplit/>
        </w:trPr>
        <w:tc>
          <w:tcPr>
            <w:tcW w:w="1800" w:type="dxa"/>
            <w:tcMar>
              <w:top w:w="80" w:type="dxa"/>
              <w:left w:w="120" w:type="dxa"/>
              <w:bottom w:w="80" w:type="dxa"/>
              <w:right w:w="120" w:type="dxa"/>
            </w:tcMar>
            <w:vAlign w:val="center"/>
          </w:tcPr>
          <w:p w14:paraId="226882EB" w14:textId="77777777" w:rsidR="00F86FAD" w:rsidRDefault="00000000">
            <w:pPr>
              <w:spacing w:after="0" w:line="283" w:lineRule="auto"/>
              <w:jc w:val="left"/>
            </w:pPr>
            <w:r>
              <w:rPr>
                <w:rFonts w:eastAsia="Calibri"/>
                <w:sz w:val="19"/>
              </w:rPr>
              <w:t>Banque centrale</w:t>
            </w:r>
          </w:p>
        </w:tc>
        <w:tc>
          <w:tcPr>
            <w:tcW w:w="2500" w:type="dxa"/>
            <w:tcMar>
              <w:top w:w="80" w:type="dxa"/>
              <w:left w:w="120" w:type="dxa"/>
              <w:bottom w:w="80" w:type="dxa"/>
              <w:right w:w="120" w:type="dxa"/>
            </w:tcMar>
            <w:vAlign w:val="center"/>
          </w:tcPr>
          <w:p w14:paraId="1E732FA4" w14:textId="77777777" w:rsidR="00F86FAD" w:rsidRPr="00D72345" w:rsidRDefault="00000000">
            <w:pPr>
              <w:spacing w:after="0" w:line="283" w:lineRule="auto"/>
              <w:jc w:val="left"/>
              <w:rPr>
                <w:lang w:val="fr-FR"/>
              </w:rPr>
            </w:pPr>
            <w:r w:rsidRPr="00D72345">
              <w:rPr>
                <w:rFonts w:eastAsia="Calibri"/>
                <w:sz w:val="19"/>
                <w:lang w:val="fr-FR"/>
              </w:rPr>
              <w:t>Politique monétaire et monnaie centrale</w:t>
            </w:r>
          </w:p>
        </w:tc>
        <w:tc>
          <w:tcPr>
            <w:tcW w:w="3000" w:type="dxa"/>
            <w:tcMar>
              <w:top w:w="80" w:type="dxa"/>
              <w:left w:w="120" w:type="dxa"/>
              <w:bottom w:w="80" w:type="dxa"/>
              <w:right w:w="120" w:type="dxa"/>
            </w:tcMar>
            <w:vAlign w:val="center"/>
          </w:tcPr>
          <w:p w14:paraId="43F757E2" w14:textId="77777777" w:rsidR="00F86FAD" w:rsidRPr="00D72345" w:rsidRDefault="00000000">
            <w:pPr>
              <w:spacing w:after="0" w:line="283" w:lineRule="auto"/>
              <w:jc w:val="left"/>
              <w:rPr>
                <w:lang w:val="fr-FR"/>
              </w:rPr>
            </w:pPr>
            <w:r w:rsidRPr="00D72345">
              <w:rPr>
                <w:rFonts w:eastAsia="Calibri"/>
                <w:sz w:val="19"/>
                <w:lang w:val="fr-FR"/>
              </w:rPr>
              <w:t>Taux directeurs, opérations, bilan, liquidité</w:t>
            </w:r>
          </w:p>
        </w:tc>
        <w:tc>
          <w:tcPr>
            <w:tcW w:w="2060" w:type="dxa"/>
            <w:tcMar>
              <w:top w:w="80" w:type="dxa"/>
              <w:left w:w="120" w:type="dxa"/>
              <w:bottom w:w="80" w:type="dxa"/>
              <w:right w:w="120" w:type="dxa"/>
            </w:tcMar>
            <w:vAlign w:val="center"/>
          </w:tcPr>
          <w:p w14:paraId="02F34083" w14:textId="77777777" w:rsidR="00F86FAD" w:rsidRPr="00D72345" w:rsidRDefault="00000000">
            <w:pPr>
              <w:spacing w:after="0" w:line="283" w:lineRule="auto"/>
              <w:jc w:val="left"/>
              <w:rPr>
                <w:lang w:val="fr-FR"/>
              </w:rPr>
            </w:pPr>
            <w:r w:rsidRPr="00D72345">
              <w:rPr>
                <w:rFonts w:eastAsia="Calibri"/>
                <w:sz w:val="19"/>
                <w:lang w:val="fr-FR"/>
              </w:rPr>
              <w:t>Budget de l'État et impôts</w:t>
            </w:r>
          </w:p>
        </w:tc>
      </w:tr>
      <w:tr w:rsidR="00F86FAD" w14:paraId="7AC27A08" w14:textId="77777777">
        <w:trPr>
          <w:cantSplit/>
        </w:trPr>
        <w:tc>
          <w:tcPr>
            <w:tcW w:w="1800" w:type="dxa"/>
            <w:shd w:val="clear" w:color="auto" w:fill="FAFBFC"/>
            <w:tcMar>
              <w:top w:w="80" w:type="dxa"/>
              <w:left w:w="120" w:type="dxa"/>
              <w:bottom w:w="80" w:type="dxa"/>
              <w:right w:w="120" w:type="dxa"/>
            </w:tcMar>
            <w:vAlign w:val="center"/>
          </w:tcPr>
          <w:p w14:paraId="6A41D7FE" w14:textId="77777777" w:rsidR="00F86FAD" w:rsidRDefault="00000000">
            <w:pPr>
              <w:spacing w:after="0" w:line="283" w:lineRule="auto"/>
              <w:jc w:val="left"/>
            </w:pPr>
            <w:r>
              <w:rPr>
                <w:rFonts w:eastAsia="Calibri"/>
                <w:sz w:val="19"/>
              </w:rPr>
              <w:t xml:space="preserve">Banque </w:t>
            </w:r>
            <w:proofErr w:type="spellStart"/>
            <w:r>
              <w:rPr>
                <w:rFonts w:eastAsia="Calibri"/>
                <w:sz w:val="19"/>
              </w:rPr>
              <w:t>commerciale</w:t>
            </w:r>
            <w:proofErr w:type="spellEnd"/>
          </w:p>
        </w:tc>
        <w:tc>
          <w:tcPr>
            <w:tcW w:w="2500" w:type="dxa"/>
            <w:shd w:val="clear" w:color="auto" w:fill="FAFBFC"/>
            <w:tcMar>
              <w:top w:w="80" w:type="dxa"/>
              <w:left w:w="120" w:type="dxa"/>
              <w:bottom w:w="80" w:type="dxa"/>
              <w:right w:w="120" w:type="dxa"/>
            </w:tcMar>
            <w:vAlign w:val="center"/>
          </w:tcPr>
          <w:p w14:paraId="7B08276D" w14:textId="77777777" w:rsidR="00F86FAD" w:rsidRPr="00D72345" w:rsidRDefault="00000000">
            <w:pPr>
              <w:spacing w:after="0" w:line="283" w:lineRule="auto"/>
              <w:jc w:val="left"/>
              <w:rPr>
                <w:lang w:val="fr-FR"/>
              </w:rPr>
            </w:pPr>
            <w:r w:rsidRPr="00D72345">
              <w:rPr>
                <w:rFonts w:eastAsia="Calibri"/>
                <w:sz w:val="19"/>
                <w:lang w:val="fr-FR"/>
              </w:rPr>
              <w:t>Dépôts, paiements et crédits aux clients</w:t>
            </w:r>
          </w:p>
        </w:tc>
        <w:tc>
          <w:tcPr>
            <w:tcW w:w="3000" w:type="dxa"/>
            <w:shd w:val="clear" w:color="auto" w:fill="FAFBFC"/>
            <w:tcMar>
              <w:top w:w="80" w:type="dxa"/>
              <w:left w:w="120" w:type="dxa"/>
              <w:bottom w:w="80" w:type="dxa"/>
              <w:right w:w="120" w:type="dxa"/>
            </w:tcMar>
            <w:vAlign w:val="center"/>
          </w:tcPr>
          <w:p w14:paraId="02DD7FFB" w14:textId="77777777" w:rsidR="00F86FAD" w:rsidRPr="00D72345" w:rsidRDefault="00000000">
            <w:pPr>
              <w:spacing w:after="0" w:line="283" w:lineRule="auto"/>
              <w:jc w:val="left"/>
              <w:rPr>
                <w:lang w:val="fr-FR"/>
              </w:rPr>
            </w:pPr>
            <w:r w:rsidRPr="00D72345">
              <w:rPr>
                <w:rFonts w:eastAsia="Calibri"/>
                <w:sz w:val="19"/>
                <w:lang w:val="fr-FR"/>
              </w:rPr>
              <w:t>Conditions de crédit selon ses coûts et ses risques</w:t>
            </w:r>
          </w:p>
        </w:tc>
        <w:tc>
          <w:tcPr>
            <w:tcW w:w="2060" w:type="dxa"/>
            <w:shd w:val="clear" w:color="auto" w:fill="FAFBFC"/>
            <w:tcMar>
              <w:top w:w="80" w:type="dxa"/>
              <w:left w:w="120" w:type="dxa"/>
              <w:bottom w:w="80" w:type="dxa"/>
              <w:right w:w="120" w:type="dxa"/>
            </w:tcMar>
            <w:vAlign w:val="center"/>
          </w:tcPr>
          <w:p w14:paraId="06836B92" w14:textId="77777777" w:rsidR="00F86FAD" w:rsidRDefault="00000000">
            <w:pPr>
              <w:spacing w:after="0" w:line="283" w:lineRule="auto"/>
              <w:jc w:val="left"/>
            </w:pPr>
            <w:r>
              <w:rPr>
                <w:rFonts w:eastAsia="Calibri"/>
                <w:sz w:val="19"/>
              </w:rPr>
              <w:t xml:space="preserve">Objectif national </w:t>
            </w:r>
            <w:proofErr w:type="spellStart"/>
            <w:r>
              <w:rPr>
                <w:rFonts w:eastAsia="Calibri"/>
                <w:sz w:val="19"/>
              </w:rPr>
              <w:t>d'inflation</w:t>
            </w:r>
            <w:proofErr w:type="spellEnd"/>
          </w:p>
        </w:tc>
      </w:tr>
      <w:tr w:rsidR="00F86FAD" w14:paraId="1A18C0C3" w14:textId="77777777">
        <w:trPr>
          <w:cantSplit/>
        </w:trPr>
        <w:tc>
          <w:tcPr>
            <w:tcW w:w="1800" w:type="dxa"/>
            <w:tcMar>
              <w:top w:w="80" w:type="dxa"/>
              <w:left w:w="120" w:type="dxa"/>
              <w:bottom w:w="80" w:type="dxa"/>
              <w:right w:w="120" w:type="dxa"/>
            </w:tcMar>
            <w:vAlign w:val="center"/>
          </w:tcPr>
          <w:p w14:paraId="11D08C5F" w14:textId="77777777" w:rsidR="00F86FAD" w:rsidRDefault="00000000">
            <w:pPr>
              <w:spacing w:after="0" w:line="283" w:lineRule="auto"/>
              <w:jc w:val="left"/>
            </w:pPr>
            <w:r>
              <w:rPr>
                <w:rFonts w:eastAsia="Calibri"/>
                <w:sz w:val="19"/>
              </w:rPr>
              <w:t>Gouvernement / Trésor</w:t>
            </w:r>
          </w:p>
        </w:tc>
        <w:tc>
          <w:tcPr>
            <w:tcW w:w="2500" w:type="dxa"/>
            <w:tcMar>
              <w:top w:w="80" w:type="dxa"/>
              <w:left w:w="120" w:type="dxa"/>
              <w:bottom w:w="80" w:type="dxa"/>
              <w:right w:w="120" w:type="dxa"/>
            </w:tcMar>
            <w:vAlign w:val="center"/>
          </w:tcPr>
          <w:p w14:paraId="08A5CC71" w14:textId="77777777" w:rsidR="00F86FAD" w:rsidRPr="00D72345" w:rsidRDefault="00000000">
            <w:pPr>
              <w:spacing w:after="0" w:line="283" w:lineRule="auto"/>
              <w:jc w:val="left"/>
              <w:rPr>
                <w:lang w:val="fr-FR"/>
              </w:rPr>
            </w:pPr>
            <w:r w:rsidRPr="00D72345">
              <w:rPr>
                <w:rFonts w:eastAsia="Calibri"/>
                <w:sz w:val="19"/>
                <w:lang w:val="fr-FR"/>
              </w:rPr>
              <w:t>Politique budgétaire et dépenses publiques</w:t>
            </w:r>
          </w:p>
        </w:tc>
        <w:tc>
          <w:tcPr>
            <w:tcW w:w="3000" w:type="dxa"/>
            <w:tcMar>
              <w:top w:w="80" w:type="dxa"/>
              <w:left w:w="120" w:type="dxa"/>
              <w:bottom w:w="80" w:type="dxa"/>
              <w:right w:w="120" w:type="dxa"/>
            </w:tcMar>
            <w:vAlign w:val="center"/>
          </w:tcPr>
          <w:p w14:paraId="5BA0B9CE" w14:textId="77777777" w:rsidR="00F86FAD" w:rsidRPr="00D72345" w:rsidRDefault="00000000">
            <w:pPr>
              <w:spacing w:after="0" w:line="283" w:lineRule="auto"/>
              <w:jc w:val="left"/>
              <w:rPr>
                <w:lang w:val="fr-FR"/>
              </w:rPr>
            </w:pPr>
            <w:r w:rsidRPr="00D72345">
              <w:rPr>
                <w:rFonts w:eastAsia="Calibri"/>
                <w:sz w:val="19"/>
                <w:lang w:val="fr-FR"/>
              </w:rPr>
              <w:t>Impôts, dépenses, déficit, émissions de dette</w:t>
            </w:r>
          </w:p>
        </w:tc>
        <w:tc>
          <w:tcPr>
            <w:tcW w:w="2060" w:type="dxa"/>
            <w:tcMar>
              <w:top w:w="80" w:type="dxa"/>
              <w:left w:w="120" w:type="dxa"/>
              <w:bottom w:w="80" w:type="dxa"/>
              <w:right w:w="120" w:type="dxa"/>
            </w:tcMar>
            <w:vAlign w:val="center"/>
          </w:tcPr>
          <w:p w14:paraId="4004FADD" w14:textId="77777777" w:rsidR="00F86FAD" w:rsidRDefault="00000000">
            <w:pPr>
              <w:spacing w:after="0" w:line="283" w:lineRule="auto"/>
              <w:jc w:val="left"/>
            </w:pPr>
            <w:proofErr w:type="spellStart"/>
            <w:r>
              <w:rPr>
                <w:rFonts w:eastAsia="Calibri"/>
                <w:sz w:val="19"/>
              </w:rPr>
              <w:t>Taux</w:t>
            </w:r>
            <w:proofErr w:type="spellEnd"/>
            <w:r>
              <w:rPr>
                <w:rFonts w:eastAsia="Calibri"/>
                <w:sz w:val="19"/>
              </w:rPr>
              <w:t xml:space="preserve"> </w:t>
            </w:r>
            <w:proofErr w:type="spellStart"/>
            <w:r>
              <w:rPr>
                <w:rFonts w:eastAsia="Calibri"/>
                <w:sz w:val="19"/>
              </w:rPr>
              <w:t>directeur</w:t>
            </w:r>
            <w:proofErr w:type="spellEnd"/>
            <w:r>
              <w:rPr>
                <w:rFonts w:eastAsia="Calibri"/>
                <w:sz w:val="19"/>
              </w:rPr>
              <w:t xml:space="preserve"> </w:t>
            </w:r>
            <w:proofErr w:type="spellStart"/>
            <w:r>
              <w:rPr>
                <w:rFonts w:eastAsia="Calibri"/>
                <w:sz w:val="19"/>
              </w:rPr>
              <w:t>indépendant</w:t>
            </w:r>
            <w:proofErr w:type="spellEnd"/>
          </w:p>
        </w:tc>
      </w:tr>
    </w:tbl>
    <w:p w14:paraId="42A7AF76" w14:textId="77777777" w:rsidR="00F86FAD" w:rsidRDefault="00F86FAD">
      <w:pPr>
        <w:spacing w:after="100"/>
      </w:pPr>
    </w:p>
    <w:p w14:paraId="36032BAB" w14:textId="77777777" w:rsidR="00F86FAD" w:rsidRPr="00D72345" w:rsidRDefault="00000000">
      <w:pPr>
        <w:rPr>
          <w:lang w:val="fr-FR"/>
        </w:rPr>
      </w:pPr>
      <w:r w:rsidRPr="00D72345">
        <w:rPr>
          <w:rFonts w:eastAsia="Calibri"/>
          <w:lang w:val="fr-FR"/>
        </w:rPr>
        <w:t>La politique monétaire agit surtout sur le coût et la disponibilité de la monnaie. La politique budgétaire agit directement par les dépenses, les transferts et les impôts. Les deux peuvent aller dans le même sens ou se contrarier.</w:t>
      </w:r>
    </w:p>
    <w:p w14:paraId="32AF04E1" w14:textId="77777777" w:rsidR="00F86FAD" w:rsidRDefault="00000000">
      <w:pPr>
        <w:pStyle w:val="Titre2"/>
      </w:pPr>
      <w:r>
        <w:t xml:space="preserve">1.3 Les missions </w:t>
      </w:r>
      <w:proofErr w:type="spellStart"/>
      <w:r>
        <w:t>principales</w:t>
      </w:r>
      <w:proofErr w:type="spellEnd"/>
    </w:p>
    <w:p w14:paraId="7F5B09B2" w14:textId="77777777" w:rsidR="00F86FAD" w:rsidRPr="00D72345" w:rsidRDefault="00000000">
      <w:pPr>
        <w:numPr>
          <w:ilvl w:val="0"/>
          <w:numId w:val="1"/>
        </w:numPr>
        <w:spacing w:after="80" w:line="300" w:lineRule="auto"/>
        <w:rPr>
          <w:lang w:val="fr-FR"/>
        </w:rPr>
      </w:pPr>
      <w:r w:rsidRPr="00D72345">
        <w:rPr>
          <w:rFonts w:eastAsia="Calibri"/>
          <w:color w:val="111111"/>
          <w:lang w:val="fr-FR"/>
        </w:rPr>
        <w:t>Stabilité des prix. Éviter une inflation durablement trop forte, mais aussi une inflation trop faible ou une déflation persistante.</w:t>
      </w:r>
    </w:p>
    <w:p w14:paraId="628FE953" w14:textId="77777777" w:rsidR="00F86FAD" w:rsidRPr="00D72345" w:rsidRDefault="00000000">
      <w:pPr>
        <w:numPr>
          <w:ilvl w:val="0"/>
          <w:numId w:val="1"/>
        </w:numPr>
        <w:spacing w:after="80" w:line="300" w:lineRule="auto"/>
        <w:rPr>
          <w:lang w:val="fr-FR"/>
        </w:rPr>
      </w:pPr>
      <w:r w:rsidRPr="00D72345">
        <w:rPr>
          <w:rFonts w:eastAsia="Calibri"/>
          <w:color w:val="111111"/>
          <w:lang w:val="fr-FR"/>
        </w:rPr>
        <w:t>Activité et emploi. Certaines banques ont un mandat explicite sur l'emploi ; d'autres soutiennent l'économie sous réserve de leur objectif principal de prix.</w:t>
      </w:r>
    </w:p>
    <w:p w14:paraId="45F6F223" w14:textId="77777777" w:rsidR="00F86FAD" w:rsidRPr="00D72345" w:rsidRDefault="00000000">
      <w:pPr>
        <w:numPr>
          <w:ilvl w:val="0"/>
          <w:numId w:val="1"/>
        </w:numPr>
        <w:spacing w:after="80" w:line="300" w:lineRule="auto"/>
        <w:rPr>
          <w:lang w:val="fr-FR"/>
        </w:rPr>
      </w:pPr>
      <w:r w:rsidRPr="00D72345">
        <w:rPr>
          <w:rFonts w:eastAsia="Calibri"/>
          <w:color w:val="111111"/>
          <w:lang w:val="fr-FR"/>
        </w:rPr>
        <w:t>Stabilité financière. Surveiller les risques systémiques et fournir de la liquidité en crise lorsque les conditions sont réunies.</w:t>
      </w:r>
    </w:p>
    <w:p w14:paraId="2DB41284" w14:textId="77777777" w:rsidR="00F86FAD" w:rsidRPr="00D72345" w:rsidRDefault="00000000">
      <w:pPr>
        <w:numPr>
          <w:ilvl w:val="0"/>
          <w:numId w:val="1"/>
        </w:numPr>
        <w:spacing w:after="80" w:line="300" w:lineRule="auto"/>
        <w:rPr>
          <w:lang w:val="fr-FR"/>
        </w:rPr>
      </w:pPr>
      <w:r w:rsidRPr="00D72345">
        <w:rPr>
          <w:rFonts w:eastAsia="Calibri"/>
          <w:color w:val="111111"/>
          <w:lang w:val="fr-FR"/>
        </w:rPr>
        <w:t>Système de paiements. Permettre aux banques de régler définitivement leurs dettes entre elles en monnaie de banque centrale.</w:t>
      </w:r>
    </w:p>
    <w:p w14:paraId="703717B5" w14:textId="77777777" w:rsidR="00F86FAD" w:rsidRPr="00D72345" w:rsidRDefault="00000000">
      <w:pPr>
        <w:numPr>
          <w:ilvl w:val="0"/>
          <w:numId w:val="1"/>
        </w:numPr>
        <w:spacing w:after="80" w:line="300" w:lineRule="auto"/>
        <w:rPr>
          <w:lang w:val="fr-FR"/>
        </w:rPr>
      </w:pPr>
      <w:r w:rsidRPr="00D72345">
        <w:rPr>
          <w:rFonts w:eastAsia="Calibri"/>
          <w:color w:val="111111"/>
          <w:lang w:val="fr-FR"/>
        </w:rPr>
        <w:t>Supervision bancaire. Cette mission appartient à la banque centrale dans certains systèmes, totalement ou partiellement, mais pas partout.</w:t>
      </w:r>
    </w:p>
    <w:p w14:paraId="0C957F15" w14:textId="77777777" w:rsidR="00F86FAD" w:rsidRPr="00D72345" w:rsidRDefault="00000000">
      <w:pPr>
        <w:numPr>
          <w:ilvl w:val="0"/>
          <w:numId w:val="1"/>
        </w:numPr>
        <w:spacing w:after="80" w:line="300" w:lineRule="auto"/>
        <w:rPr>
          <w:lang w:val="fr-FR"/>
        </w:rPr>
      </w:pPr>
      <w:r w:rsidRPr="00D72345">
        <w:rPr>
          <w:rFonts w:eastAsia="Calibri"/>
          <w:color w:val="111111"/>
          <w:lang w:val="fr-FR"/>
        </w:rPr>
        <w:t>Gestion des réserves de change et services à l'État. Le périmètre exact dépend de la loi et du pays.</w:t>
      </w:r>
    </w:p>
    <w:p w14:paraId="5E38F3B6"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8">
        <w:r w:rsidRPr="00D72345">
          <w:rPr>
            <w:color w:val="2E74B5"/>
            <w:u w:val="single"/>
            <w:lang w:val="fr-FR"/>
          </w:rPr>
          <w:t>BCE — Qu'est-ce que la politique monétaire ?</w:t>
        </w:r>
      </w:hyperlink>
      <w:r w:rsidRPr="00D72345">
        <w:rPr>
          <w:rFonts w:eastAsia="Calibri"/>
          <w:color w:val="667085"/>
          <w:sz w:val="17"/>
          <w:lang w:val="fr-FR"/>
        </w:rPr>
        <w:t xml:space="preserve"> · </w:t>
      </w:r>
      <w:hyperlink r:id="rId9">
        <w:r w:rsidRPr="00D72345">
          <w:rPr>
            <w:color w:val="2E74B5"/>
            <w:u w:val="single"/>
            <w:lang w:val="fr-FR"/>
          </w:rPr>
          <w:t>BRI — Rôles et objectifs des banques centrales modernes</w:t>
        </w:r>
      </w:hyperlink>
      <w:r w:rsidRPr="00D72345">
        <w:rPr>
          <w:rFonts w:eastAsia="Calibri"/>
          <w:color w:val="667085"/>
          <w:sz w:val="17"/>
          <w:lang w:val="fr-FR"/>
        </w:rPr>
        <w:t xml:space="preserve"> · </w:t>
      </w:r>
      <w:hyperlink r:id="rId10">
        <w:r w:rsidRPr="00D72345">
          <w:rPr>
            <w:color w:val="2E74B5"/>
            <w:u w:val="single"/>
            <w:lang w:val="fr-FR"/>
          </w:rPr>
          <w:t>BRI — Les banques centrales au cœur du système monétaire</w:t>
        </w:r>
      </w:hyperlink>
    </w:p>
    <w:p w14:paraId="49EA77F7" w14:textId="77777777" w:rsidR="00F86FAD" w:rsidRPr="00D72345" w:rsidRDefault="00000000">
      <w:pPr>
        <w:pStyle w:val="Titre2"/>
        <w:rPr>
          <w:lang w:val="fr-FR"/>
        </w:rPr>
      </w:pPr>
      <w:r w:rsidRPr="00D72345">
        <w:rPr>
          <w:lang w:val="fr-FR"/>
        </w:rPr>
        <w:t>1.4 Mandat : pourquoi toutes les banques centrales ne réagissent pas pareil</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100"/>
        <w:gridCol w:w="1400"/>
        <w:gridCol w:w="2500"/>
        <w:gridCol w:w="3360"/>
      </w:tblGrid>
      <w:tr w:rsidR="00F86FAD" w14:paraId="512C8595" w14:textId="77777777">
        <w:trPr>
          <w:cantSplit/>
          <w:tblHeader/>
        </w:trPr>
        <w:tc>
          <w:tcPr>
            <w:tcW w:w="2100" w:type="dxa"/>
            <w:shd w:val="clear" w:color="auto" w:fill="F4F6F9"/>
            <w:tcMar>
              <w:top w:w="80" w:type="dxa"/>
              <w:left w:w="120" w:type="dxa"/>
              <w:bottom w:w="80" w:type="dxa"/>
              <w:right w:w="120" w:type="dxa"/>
            </w:tcMar>
            <w:vAlign w:val="center"/>
          </w:tcPr>
          <w:p w14:paraId="43091952" w14:textId="77777777" w:rsidR="00F86FAD" w:rsidRDefault="00000000">
            <w:pPr>
              <w:spacing w:after="0" w:line="283" w:lineRule="auto"/>
              <w:jc w:val="left"/>
            </w:pPr>
            <w:r>
              <w:rPr>
                <w:rFonts w:eastAsia="Calibri"/>
                <w:b/>
                <w:color w:val="0B2545"/>
                <w:sz w:val="19"/>
              </w:rPr>
              <w:t>Institution</w:t>
            </w:r>
          </w:p>
        </w:tc>
        <w:tc>
          <w:tcPr>
            <w:tcW w:w="1400" w:type="dxa"/>
            <w:shd w:val="clear" w:color="auto" w:fill="F4F6F9"/>
            <w:tcMar>
              <w:top w:w="80" w:type="dxa"/>
              <w:left w:w="120" w:type="dxa"/>
              <w:bottom w:w="80" w:type="dxa"/>
              <w:right w:w="120" w:type="dxa"/>
            </w:tcMar>
            <w:vAlign w:val="center"/>
          </w:tcPr>
          <w:p w14:paraId="4F1D296B" w14:textId="77777777" w:rsidR="00F86FAD" w:rsidRDefault="00000000">
            <w:pPr>
              <w:spacing w:after="0" w:line="283" w:lineRule="auto"/>
              <w:jc w:val="left"/>
            </w:pPr>
            <w:r>
              <w:rPr>
                <w:rFonts w:eastAsia="Calibri"/>
                <w:b/>
                <w:color w:val="0B2545"/>
                <w:sz w:val="19"/>
              </w:rPr>
              <w:t>Zone</w:t>
            </w:r>
          </w:p>
        </w:tc>
        <w:tc>
          <w:tcPr>
            <w:tcW w:w="2500" w:type="dxa"/>
            <w:shd w:val="clear" w:color="auto" w:fill="F4F6F9"/>
            <w:tcMar>
              <w:top w:w="80" w:type="dxa"/>
              <w:left w:w="120" w:type="dxa"/>
              <w:bottom w:w="80" w:type="dxa"/>
              <w:right w:w="120" w:type="dxa"/>
            </w:tcMar>
            <w:vAlign w:val="center"/>
          </w:tcPr>
          <w:p w14:paraId="2CCAC46A" w14:textId="77777777" w:rsidR="00F86FAD" w:rsidRDefault="00000000">
            <w:pPr>
              <w:spacing w:after="0" w:line="283" w:lineRule="auto"/>
              <w:jc w:val="left"/>
            </w:pPr>
            <w:r>
              <w:rPr>
                <w:rFonts w:eastAsia="Calibri"/>
                <w:b/>
                <w:color w:val="0B2545"/>
                <w:sz w:val="19"/>
              </w:rPr>
              <w:t>Organe de décision</w:t>
            </w:r>
          </w:p>
        </w:tc>
        <w:tc>
          <w:tcPr>
            <w:tcW w:w="3360" w:type="dxa"/>
            <w:shd w:val="clear" w:color="auto" w:fill="F4F6F9"/>
            <w:tcMar>
              <w:top w:w="80" w:type="dxa"/>
              <w:left w:w="120" w:type="dxa"/>
              <w:bottom w:w="80" w:type="dxa"/>
              <w:right w:w="120" w:type="dxa"/>
            </w:tcMar>
            <w:vAlign w:val="center"/>
          </w:tcPr>
          <w:p w14:paraId="79DDE87A" w14:textId="77777777" w:rsidR="00F86FAD" w:rsidRDefault="00000000">
            <w:pPr>
              <w:spacing w:after="0" w:line="283" w:lineRule="auto"/>
              <w:jc w:val="left"/>
            </w:pPr>
            <w:r>
              <w:rPr>
                <w:rFonts w:eastAsia="Calibri"/>
                <w:b/>
                <w:color w:val="0B2545"/>
                <w:sz w:val="19"/>
              </w:rPr>
              <w:t>Priorité simplifiée</w:t>
            </w:r>
          </w:p>
        </w:tc>
      </w:tr>
      <w:tr w:rsidR="00F86FAD" w:rsidRPr="00D72345" w14:paraId="3B22D817" w14:textId="77777777">
        <w:trPr>
          <w:cantSplit/>
        </w:trPr>
        <w:tc>
          <w:tcPr>
            <w:tcW w:w="2100" w:type="dxa"/>
            <w:tcMar>
              <w:top w:w="80" w:type="dxa"/>
              <w:left w:w="120" w:type="dxa"/>
              <w:bottom w:w="80" w:type="dxa"/>
              <w:right w:w="120" w:type="dxa"/>
            </w:tcMar>
            <w:vAlign w:val="center"/>
          </w:tcPr>
          <w:p w14:paraId="340D894F" w14:textId="77777777" w:rsidR="00F86FAD" w:rsidRDefault="00000000">
            <w:pPr>
              <w:spacing w:after="0" w:line="283" w:lineRule="auto"/>
              <w:jc w:val="left"/>
            </w:pPr>
            <w:r>
              <w:rPr>
                <w:rFonts w:eastAsia="Calibri"/>
                <w:sz w:val="19"/>
              </w:rPr>
              <w:t>Réserve fédérale (Fed)</w:t>
            </w:r>
          </w:p>
        </w:tc>
        <w:tc>
          <w:tcPr>
            <w:tcW w:w="1400" w:type="dxa"/>
            <w:tcMar>
              <w:top w:w="80" w:type="dxa"/>
              <w:left w:w="120" w:type="dxa"/>
              <w:bottom w:w="80" w:type="dxa"/>
              <w:right w:w="120" w:type="dxa"/>
            </w:tcMar>
            <w:vAlign w:val="center"/>
          </w:tcPr>
          <w:p w14:paraId="06596FEC" w14:textId="77777777" w:rsidR="00F86FAD" w:rsidRDefault="00000000">
            <w:pPr>
              <w:spacing w:after="0" w:line="283" w:lineRule="auto"/>
              <w:jc w:val="left"/>
            </w:pPr>
            <w:r>
              <w:rPr>
                <w:rFonts w:eastAsia="Calibri"/>
                <w:sz w:val="19"/>
              </w:rPr>
              <w:t>États-Unis</w:t>
            </w:r>
          </w:p>
        </w:tc>
        <w:tc>
          <w:tcPr>
            <w:tcW w:w="2500" w:type="dxa"/>
            <w:tcMar>
              <w:top w:w="80" w:type="dxa"/>
              <w:left w:w="120" w:type="dxa"/>
              <w:bottom w:w="80" w:type="dxa"/>
              <w:right w:w="120" w:type="dxa"/>
            </w:tcMar>
            <w:vAlign w:val="center"/>
          </w:tcPr>
          <w:p w14:paraId="30276A81" w14:textId="77777777" w:rsidR="00F86FAD" w:rsidRDefault="00000000">
            <w:pPr>
              <w:spacing w:after="0" w:line="283" w:lineRule="auto"/>
              <w:jc w:val="left"/>
            </w:pPr>
            <w:r>
              <w:rPr>
                <w:rFonts w:eastAsia="Calibri"/>
                <w:sz w:val="19"/>
              </w:rPr>
              <w:t>FOMC</w:t>
            </w:r>
          </w:p>
        </w:tc>
        <w:tc>
          <w:tcPr>
            <w:tcW w:w="3360" w:type="dxa"/>
            <w:tcMar>
              <w:top w:w="80" w:type="dxa"/>
              <w:left w:w="120" w:type="dxa"/>
              <w:bottom w:w="80" w:type="dxa"/>
              <w:right w:w="120" w:type="dxa"/>
            </w:tcMar>
            <w:vAlign w:val="center"/>
          </w:tcPr>
          <w:p w14:paraId="732DB26C" w14:textId="77777777" w:rsidR="00F86FAD" w:rsidRPr="00D72345" w:rsidRDefault="00000000">
            <w:pPr>
              <w:spacing w:after="0" w:line="283" w:lineRule="auto"/>
              <w:jc w:val="left"/>
              <w:rPr>
                <w:lang w:val="fr-FR"/>
              </w:rPr>
            </w:pPr>
            <w:r w:rsidRPr="00D72345">
              <w:rPr>
                <w:rFonts w:eastAsia="Calibri"/>
                <w:sz w:val="19"/>
                <w:lang w:val="fr-FR"/>
              </w:rPr>
              <w:t>Stabilité des prix et emploi maximal</w:t>
            </w:r>
          </w:p>
        </w:tc>
      </w:tr>
      <w:tr w:rsidR="00F86FAD" w:rsidRPr="00D72345" w14:paraId="5DDDA4BE" w14:textId="77777777">
        <w:trPr>
          <w:cantSplit/>
        </w:trPr>
        <w:tc>
          <w:tcPr>
            <w:tcW w:w="2100" w:type="dxa"/>
            <w:shd w:val="clear" w:color="auto" w:fill="FAFBFC"/>
            <w:tcMar>
              <w:top w:w="80" w:type="dxa"/>
              <w:left w:w="120" w:type="dxa"/>
              <w:bottom w:w="80" w:type="dxa"/>
              <w:right w:w="120" w:type="dxa"/>
            </w:tcMar>
            <w:vAlign w:val="center"/>
          </w:tcPr>
          <w:p w14:paraId="42C8B1C3" w14:textId="77777777" w:rsidR="00F86FAD" w:rsidRDefault="00000000">
            <w:pPr>
              <w:spacing w:after="0" w:line="283" w:lineRule="auto"/>
              <w:jc w:val="left"/>
            </w:pPr>
            <w:r>
              <w:rPr>
                <w:rFonts w:eastAsia="Calibri"/>
                <w:sz w:val="19"/>
              </w:rPr>
              <w:t xml:space="preserve">Banque centrale </w:t>
            </w:r>
            <w:proofErr w:type="spellStart"/>
            <w:r>
              <w:rPr>
                <w:rFonts w:eastAsia="Calibri"/>
                <w:sz w:val="19"/>
              </w:rPr>
              <w:t>européenne</w:t>
            </w:r>
            <w:proofErr w:type="spellEnd"/>
            <w:r>
              <w:rPr>
                <w:rFonts w:eastAsia="Calibri"/>
                <w:sz w:val="19"/>
              </w:rPr>
              <w:t xml:space="preserve"> (BCE)</w:t>
            </w:r>
          </w:p>
        </w:tc>
        <w:tc>
          <w:tcPr>
            <w:tcW w:w="1400" w:type="dxa"/>
            <w:shd w:val="clear" w:color="auto" w:fill="FAFBFC"/>
            <w:tcMar>
              <w:top w:w="80" w:type="dxa"/>
              <w:left w:w="120" w:type="dxa"/>
              <w:bottom w:w="80" w:type="dxa"/>
              <w:right w:w="120" w:type="dxa"/>
            </w:tcMar>
            <w:vAlign w:val="center"/>
          </w:tcPr>
          <w:p w14:paraId="285863A7" w14:textId="77777777" w:rsidR="00F86FAD" w:rsidRDefault="00000000">
            <w:pPr>
              <w:spacing w:after="0" w:line="283" w:lineRule="auto"/>
              <w:jc w:val="left"/>
            </w:pPr>
            <w:r>
              <w:rPr>
                <w:rFonts w:eastAsia="Calibri"/>
                <w:sz w:val="19"/>
              </w:rPr>
              <w:t>Zone euro</w:t>
            </w:r>
          </w:p>
        </w:tc>
        <w:tc>
          <w:tcPr>
            <w:tcW w:w="2500" w:type="dxa"/>
            <w:shd w:val="clear" w:color="auto" w:fill="FAFBFC"/>
            <w:tcMar>
              <w:top w:w="80" w:type="dxa"/>
              <w:left w:w="120" w:type="dxa"/>
              <w:bottom w:w="80" w:type="dxa"/>
              <w:right w:w="120" w:type="dxa"/>
            </w:tcMar>
            <w:vAlign w:val="center"/>
          </w:tcPr>
          <w:p w14:paraId="61F3C107" w14:textId="77777777" w:rsidR="00F86FAD" w:rsidRDefault="00000000">
            <w:pPr>
              <w:spacing w:after="0" w:line="283" w:lineRule="auto"/>
              <w:jc w:val="left"/>
            </w:pPr>
            <w:r>
              <w:rPr>
                <w:rFonts w:eastAsia="Calibri"/>
                <w:sz w:val="19"/>
              </w:rPr>
              <w:t>Conseil des gouverneurs</w:t>
            </w:r>
          </w:p>
        </w:tc>
        <w:tc>
          <w:tcPr>
            <w:tcW w:w="3360" w:type="dxa"/>
            <w:shd w:val="clear" w:color="auto" w:fill="FAFBFC"/>
            <w:tcMar>
              <w:top w:w="80" w:type="dxa"/>
              <w:left w:w="120" w:type="dxa"/>
              <w:bottom w:w="80" w:type="dxa"/>
              <w:right w:w="120" w:type="dxa"/>
            </w:tcMar>
            <w:vAlign w:val="center"/>
          </w:tcPr>
          <w:p w14:paraId="5F410EB2" w14:textId="77777777" w:rsidR="00F86FAD" w:rsidRPr="00D72345" w:rsidRDefault="00000000">
            <w:pPr>
              <w:spacing w:after="0" w:line="283" w:lineRule="auto"/>
              <w:jc w:val="left"/>
              <w:rPr>
                <w:lang w:val="fr-FR"/>
              </w:rPr>
            </w:pPr>
            <w:r w:rsidRPr="00D72345">
              <w:rPr>
                <w:rFonts w:eastAsia="Calibri"/>
                <w:sz w:val="19"/>
                <w:lang w:val="fr-FR"/>
              </w:rPr>
              <w:t>Stabilité des prix ; soutien aux objectifs économiques sans la compromettre</w:t>
            </w:r>
          </w:p>
        </w:tc>
      </w:tr>
      <w:tr w:rsidR="00F86FAD" w:rsidRPr="00D72345" w14:paraId="3F135424" w14:textId="77777777">
        <w:trPr>
          <w:cantSplit/>
        </w:trPr>
        <w:tc>
          <w:tcPr>
            <w:tcW w:w="2100" w:type="dxa"/>
            <w:tcMar>
              <w:top w:w="80" w:type="dxa"/>
              <w:left w:w="120" w:type="dxa"/>
              <w:bottom w:w="80" w:type="dxa"/>
              <w:right w:w="120" w:type="dxa"/>
            </w:tcMar>
            <w:vAlign w:val="center"/>
          </w:tcPr>
          <w:p w14:paraId="1B060450" w14:textId="77777777" w:rsidR="00F86FAD" w:rsidRDefault="00000000">
            <w:pPr>
              <w:spacing w:after="0" w:line="283" w:lineRule="auto"/>
              <w:jc w:val="left"/>
            </w:pPr>
            <w:r>
              <w:rPr>
                <w:rFonts w:eastAsia="Calibri"/>
                <w:sz w:val="19"/>
              </w:rPr>
              <w:t xml:space="preserve">Banque </w:t>
            </w:r>
            <w:proofErr w:type="spellStart"/>
            <w:r>
              <w:rPr>
                <w:rFonts w:eastAsia="Calibri"/>
                <w:sz w:val="19"/>
              </w:rPr>
              <w:t>d'Angleterre</w:t>
            </w:r>
            <w:proofErr w:type="spellEnd"/>
            <w:r>
              <w:rPr>
                <w:rFonts w:eastAsia="Calibri"/>
                <w:sz w:val="19"/>
              </w:rPr>
              <w:t xml:space="preserve"> (BoE)</w:t>
            </w:r>
          </w:p>
        </w:tc>
        <w:tc>
          <w:tcPr>
            <w:tcW w:w="1400" w:type="dxa"/>
            <w:tcMar>
              <w:top w:w="80" w:type="dxa"/>
              <w:left w:w="120" w:type="dxa"/>
              <w:bottom w:w="80" w:type="dxa"/>
              <w:right w:w="120" w:type="dxa"/>
            </w:tcMar>
            <w:vAlign w:val="center"/>
          </w:tcPr>
          <w:p w14:paraId="50E02B22" w14:textId="77777777" w:rsidR="00F86FAD" w:rsidRDefault="00000000">
            <w:pPr>
              <w:spacing w:after="0" w:line="283" w:lineRule="auto"/>
              <w:jc w:val="left"/>
            </w:pPr>
            <w:r>
              <w:rPr>
                <w:rFonts w:eastAsia="Calibri"/>
                <w:sz w:val="19"/>
              </w:rPr>
              <w:t>Royaume-Uni</w:t>
            </w:r>
          </w:p>
        </w:tc>
        <w:tc>
          <w:tcPr>
            <w:tcW w:w="2500" w:type="dxa"/>
            <w:tcMar>
              <w:top w:w="80" w:type="dxa"/>
              <w:left w:w="120" w:type="dxa"/>
              <w:bottom w:w="80" w:type="dxa"/>
              <w:right w:w="120" w:type="dxa"/>
            </w:tcMar>
            <w:vAlign w:val="center"/>
          </w:tcPr>
          <w:p w14:paraId="42E3886D" w14:textId="77777777" w:rsidR="00F86FAD" w:rsidRDefault="00000000">
            <w:pPr>
              <w:spacing w:after="0" w:line="283" w:lineRule="auto"/>
              <w:jc w:val="left"/>
            </w:pPr>
            <w:r>
              <w:rPr>
                <w:rFonts w:eastAsia="Calibri"/>
                <w:sz w:val="19"/>
              </w:rPr>
              <w:t>Monetary Policy Committee</w:t>
            </w:r>
          </w:p>
        </w:tc>
        <w:tc>
          <w:tcPr>
            <w:tcW w:w="3360" w:type="dxa"/>
            <w:tcMar>
              <w:top w:w="80" w:type="dxa"/>
              <w:left w:w="120" w:type="dxa"/>
              <w:bottom w:w="80" w:type="dxa"/>
              <w:right w:w="120" w:type="dxa"/>
            </w:tcMar>
            <w:vAlign w:val="center"/>
          </w:tcPr>
          <w:p w14:paraId="2DF5859B" w14:textId="77777777" w:rsidR="00F86FAD" w:rsidRPr="00D72345" w:rsidRDefault="00000000">
            <w:pPr>
              <w:spacing w:after="0" w:line="283" w:lineRule="auto"/>
              <w:jc w:val="left"/>
              <w:rPr>
                <w:lang w:val="fr-FR"/>
              </w:rPr>
            </w:pPr>
            <w:r w:rsidRPr="00D72345">
              <w:rPr>
                <w:rFonts w:eastAsia="Calibri"/>
                <w:sz w:val="19"/>
                <w:lang w:val="fr-FR"/>
              </w:rPr>
              <w:t>Objectif d'inflation fixé par le gouvernement</w:t>
            </w:r>
          </w:p>
        </w:tc>
      </w:tr>
      <w:tr w:rsidR="00F86FAD" w:rsidRPr="00D72345" w14:paraId="33BF2D6C" w14:textId="77777777">
        <w:trPr>
          <w:cantSplit/>
        </w:trPr>
        <w:tc>
          <w:tcPr>
            <w:tcW w:w="2100" w:type="dxa"/>
            <w:shd w:val="clear" w:color="auto" w:fill="FAFBFC"/>
            <w:tcMar>
              <w:top w:w="80" w:type="dxa"/>
              <w:left w:w="120" w:type="dxa"/>
              <w:bottom w:w="80" w:type="dxa"/>
              <w:right w:w="120" w:type="dxa"/>
            </w:tcMar>
            <w:vAlign w:val="center"/>
          </w:tcPr>
          <w:p w14:paraId="638FB1D5" w14:textId="77777777" w:rsidR="00F86FAD" w:rsidRDefault="00000000">
            <w:pPr>
              <w:spacing w:after="0" w:line="283" w:lineRule="auto"/>
              <w:jc w:val="left"/>
            </w:pPr>
            <w:r>
              <w:rPr>
                <w:rFonts w:eastAsia="Calibri"/>
                <w:sz w:val="19"/>
              </w:rPr>
              <w:t xml:space="preserve">Banque du </w:t>
            </w:r>
            <w:proofErr w:type="spellStart"/>
            <w:r>
              <w:rPr>
                <w:rFonts w:eastAsia="Calibri"/>
                <w:sz w:val="19"/>
              </w:rPr>
              <w:t>Japon</w:t>
            </w:r>
            <w:proofErr w:type="spellEnd"/>
            <w:r>
              <w:rPr>
                <w:rFonts w:eastAsia="Calibri"/>
                <w:sz w:val="19"/>
              </w:rPr>
              <w:t xml:space="preserve"> (BoJ)</w:t>
            </w:r>
          </w:p>
        </w:tc>
        <w:tc>
          <w:tcPr>
            <w:tcW w:w="1400" w:type="dxa"/>
            <w:shd w:val="clear" w:color="auto" w:fill="FAFBFC"/>
            <w:tcMar>
              <w:top w:w="80" w:type="dxa"/>
              <w:left w:w="120" w:type="dxa"/>
              <w:bottom w:w="80" w:type="dxa"/>
              <w:right w:w="120" w:type="dxa"/>
            </w:tcMar>
            <w:vAlign w:val="center"/>
          </w:tcPr>
          <w:p w14:paraId="1AA62088" w14:textId="77777777" w:rsidR="00F86FAD" w:rsidRDefault="00000000">
            <w:pPr>
              <w:spacing w:after="0" w:line="283" w:lineRule="auto"/>
              <w:jc w:val="left"/>
            </w:pPr>
            <w:r>
              <w:rPr>
                <w:rFonts w:eastAsia="Calibri"/>
                <w:sz w:val="19"/>
              </w:rPr>
              <w:t>Japon</w:t>
            </w:r>
          </w:p>
        </w:tc>
        <w:tc>
          <w:tcPr>
            <w:tcW w:w="2500" w:type="dxa"/>
            <w:shd w:val="clear" w:color="auto" w:fill="FAFBFC"/>
            <w:tcMar>
              <w:top w:w="80" w:type="dxa"/>
              <w:left w:w="120" w:type="dxa"/>
              <w:bottom w:w="80" w:type="dxa"/>
              <w:right w:w="120" w:type="dxa"/>
            </w:tcMar>
            <w:vAlign w:val="center"/>
          </w:tcPr>
          <w:p w14:paraId="723AC750" w14:textId="77777777" w:rsidR="00F86FAD" w:rsidRDefault="00000000">
            <w:pPr>
              <w:spacing w:after="0" w:line="283" w:lineRule="auto"/>
              <w:jc w:val="left"/>
            </w:pPr>
            <w:r>
              <w:rPr>
                <w:rFonts w:eastAsia="Calibri"/>
                <w:sz w:val="19"/>
              </w:rPr>
              <w:t>Policy Board</w:t>
            </w:r>
          </w:p>
        </w:tc>
        <w:tc>
          <w:tcPr>
            <w:tcW w:w="3360" w:type="dxa"/>
            <w:shd w:val="clear" w:color="auto" w:fill="FAFBFC"/>
            <w:tcMar>
              <w:top w:w="80" w:type="dxa"/>
              <w:left w:w="120" w:type="dxa"/>
              <w:bottom w:w="80" w:type="dxa"/>
              <w:right w:w="120" w:type="dxa"/>
            </w:tcMar>
            <w:vAlign w:val="center"/>
          </w:tcPr>
          <w:p w14:paraId="53FD33F5" w14:textId="77777777" w:rsidR="00F86FAD" w:rsidRPr="00D72345" w:rsidRDefault="00000000">
            <w:pPr>
              <w:spacing w:after="0" w:line="283" w:lineRule="auto"/>
              <w:jc w:val="left"/>
              <w:rPr>
                <w:lang w:val="fr-FR"/>
              </w:rPr>
            </w:pPr>
            <w:r w:rsidRPr="00D72345">
              <w:rPr>
                <w:rFonts w:eastAsia="Calibri"/>
                <w:sz w:val="19"/>
                <w:lang w:val="fr-FR"/>
              </w:rPr>
              <w:t>Stabilité des prix et stabilité du système financier</w:t>
            </w:r>
          </w:p>
        </w:tc>
      </w:tr>
    </w:tbl>
    <w:p w14:paraId="483E65E5" w14:textId="77777777" w:rsidR="00F86FAD" w:rsidRPr="00D72345" w:rsidRDefault="00F86FAD">
      <w:pPr>
        <w:spacing w:after="100"/>
        <w:rPr>
          <w:lang w:val="fr-FR"/>
        </w:rPr>
      </w:pPr>
    </w:p>
    <w:p w14:paraId="1CD7DDFB" w14:textId="77777777" w:rsidR="00F86FAD" w:rsidRPr="00D72345" w:rsidRDefault="00000000">
      <w:pPr>
        <w:keepLines/>
        <w:pBdr>
          <w:left w:val="single" w:sz="18" w:space="8" w:color="2E74B5"/>
        </w:pBdr>
        <w:shd w:val="clear" w:color="auto" w:fill="EEF4FA"/>
        <w:spacing w:before="100" w:after="200" w:line="288" w:lineRule="auto"/>
        <w:ind w:left="173" w:right="115"/>
        <w:rPr>
          <w:lang w:val="fr-FR"/>
        </w:rPr>
      </w:pPr>
      <w:r w:rsidRPr="00D72345">
        <w:rPr>
          <w:rFonts w:eastAsia="Calibri"/>
          <w:b/>
          <w:color w:val="2E74B5"/>
          <w:sz w:val="20"/>
          <w:lang w:val="fr-FR"/>
        </w:rPr>
        <w:t xml:space="preserve">CONSÉQUENCE POUR LE </w:t>
      </w:r>
      <w:proofErr w:type="gramStart"/>
      <w:r w:rsidRPr="00D72345">
        <w:rPr>
          <w:rFonts w:eastAsia="Calibri"/>
          <w:b/>
          <w:color w:val="2E74B5"/>
          <w:sz w:val="20"/>
          <w:lang w:val="fr-FR"/>
        </w:rPr>
        <w:t xml:space="preserve">MARCHÉ  </w:t>
      </w:r>
      <w:r w:rsidRPr="00D72345">
        <w:rPr>
          <w:rFonts w:eastAsia="Calibri"/>
          <w:sz w:val="21"/>
          <w:lang w:val="fr-FR"/>
        </w:rPr>
        <w:t>Une</w:t>
      </w:r>
      <w:proofErr w:type="gramEnd"/>
      <w:r w:rsidRPr="00D72345">
        <w:rPr>
          <w:rFonts w:eastAsia="Calibri"/>
          <w:sz w:val="21"/>
          <w:lang w:val="fr-FR"/>
        </w:rPr>
        <w:t xml:space="preserve"> même inflation peut provoquer des réponses différentes si la croissance, l'emploi, la structure du crédit ou le mandat ne sont pas identiques.</w:t>
      </w:r>
    </w:p>
    <w:p w14:paraId="206BAD38" w14:textId="77777777" w:rsidR="00F86FAD" w:rsidRPr="00D72345" w:rsidRDefault="00000000">
      <w:pPr>
        <w:pStyle w:val="Titre2"/>
        <w:rPr>
          <w:lang w:val="fr-FR"/>
        </w:rPr>
      </w:pPr>
      <w:r w:rsidRPr="00D72345">
        <w:rPr>
          <w:lang w:val="fr-FR"/>
        </w:rPr>
        <w:t>1.5 Indépendance, crédibilité et responsabilité</w:t>
      </w:r>
    </w:p>
    <w:p w14:paraId="5DE0F850" w14:textId="77777777" w:rsidR="00F86FAD" w:rsidRPr="00D72345" w:rsidRDefault="00000000">
      <w:pPr>
        <w:rPr>
          <w:lang w:val="fr-FR"/>
        </w:rPr>
      </w:pPr>
      <w:r w:rsidRPr="00D72345">
        <w:rPr>
          <w:rFonts w:eastAsia="Calibri"/>
          <w:lang w:val="fr-FR"/>
        </w:rPr>
        <w:t>L'indépendance signifie que les responsables peuvent prendre une décision impopulaire, par exemple maintenir des taux élevés, sans devoir suivre l'intérêt électoral immédiat. Elle ne signifie pas absence de contrôle : le mandat vient de la loi, les décisions sont publiées et les dirigeants rendent des comptes.</w:t>
      </w:r>
    </w:p>
    <w:p w14:paraId="1AA2ED08" w14:textId="77777777" w:rsidR="00F86FAD" w:rsidRPr="00D72345" w:rsidRDefault="00000000">
      <w:pPr>
        <w:rPr>
          <w:lang w:val="fr-FR"/>
        </w:rPr>
      </w:pPr>
      <w:r w:rsidRPr="00D72345">
        <w:rPr>
          <w:rFonts w:eastAsia="Calibri"/>
          <w:lang w:val="fr-FR"/>
        </w:rPr>
        <w:t>La crédibilité compte parce que l'inflation dépend aussi des anticipations. Si ménages, entreprises et investisseurs croient que la banque ramènera l'inflation vers sa cible, ils adaptent plus modérément salaires, prix et taux exigés. Si cette confiance disparaît, la banque peut devoir resserrer davantage.</w:t>
      </w:r>
    </w:p>
    <w:p w14:paraId="776C08D2" w14:textId="77777777" w:rsidR="00F86FAD" w:rsidRPr="00D72345" w:rsidRDefault="00000000">
      <w:pPr>
        <w:keepLines/>
        <w:pBdr>
          <w:left w:val="single" w:sz="18" w:space="8" w:color="207A4B"/>
        </w:pBdr>
        <w:shd w:val="clear" w:color="auto" w:fill="EAF6EF"/>
        <w:spacing w:before="100" w:after="200" w:line="288" w:lineRule="auto"/>
        <w:ind w:left="173" w:right="115"/>
        <w:rPr>
          <w:lang w:val="fr-FR"/>
        </w:rPr>
      </w:pPr>
      <w:r w:rsidRPr="00D72345">
        <w:rPr>
          <w:rFonts w:eastAsia="Calibri"/>
          <w:b/>
          <w:color w:val="207A4B"/>
          <w:sz w:val="20"/>
          <w:lang w:val="fr-FR"/>
        </w:rPr>
        <w:t xml:space="preserve">À </w:t>
      </w:r>
      <w:proofErr w:type="gramStart"/>
      <w:r w:rsidRPr="00D72345">
        <w:rPr>
          <w:rFonts w:eastAsia="Calibri"/>
          <w:b/>
          <w:color w:val="207A4B"/>
          <w:sz w:val="20"/>
          <w:lang w:val="fr-FR"/>
        </w:rPr>
        <w:t xml:space="preserve">RETENIR  </w:t>
      </w:r>
      <w:r w:rsidRPr="00D72345">
        <w:rPr>
          <w:rFonts w:eastAsia="Calibri"/>
          <w:sz w:val="21"/>
          <w:lang w:val="fr-FR"/>
        </w:rPr>
        <w:t>Une</w:t>
      </w:r>
      <w:proofErr w:type="gramEnd"/>
      <w:r w:rsidRPr="00D72345">
        <w:rPr>
          <w:rFonts w:eastAsia="Calibri"/>
          <w:sz w:val="21"/>
          <w:lang w:val="fr-FR"/>
        </w:rPr>
        <w:t xml:space="preserve"> banque centrale crédible peut influencer l'économie par ses paroles avant même de modifier réellement son taux ou son bilan.</w:t>
      </w:r>
    </w:p>
    <w:p w14:paraId="069B53FB"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11">
        <w:r w:rsidRPr="00D72345">
          <w:rPr>
            <w:color w:val="2E74B5"/>
            <w:u w:val="single"/>
            <w:lang w:val="fr-FR"/>
          </w:rPr>
          <w:t>Réserve fédérale — Objectifs et fonctionnement de la politique monétaire</w:t>
        </w:r>
      </w:hyperlink>
      <w:r w:rsidRPr="00D72345">
        <w:rPr>
          <w:rFonts w:eastAsia="Calibri"/>
          <w:color w:val="667085"/>
          <w:sz w:val="17"/>
          <w:lang w:val="fr-FR"/>
        </w:rPr>
        <w:t xml:space="preserve"> · </w:t>
      </w:r>
      <w:hyperlink r:id="rId12">
        <w:r w:rsidRPr="00D72345">
          <w:rPr>
            <w:color w:val="2E74B5"/>
            <w:u w:val="single"/>
            <w:lang w:val="fr-FR"/>
          </w:rPr>
          <w:t>BCE — Objectif d'inflation de 2 %</w:t>
        </w:r>
      </w:hyperlink>
      <w:r w:rsidRPr="00D72345">
        <w:rPr>
          <w:rFonts w:eastAsia="Calibri"/>
          <w:color w:val="667085"/>
          <w:sz w:val="17"/>
          <w:lang w:val="fr-FR"/>
        </w:rPr>
        <w:t xml:space="preserve"> · </w:t>
      </w:r>
      <w:hyperlink r:id="rId13">
        <w:r w:rsidRPr="00D72345">
          <w:rPr>
            <w:color w:val="2E74B5"/>
            <w:u w:val="single"/>
            <w:lang w:val="fr-FR"/>
          </w:rPr>
          <w:t>FMI — Pourquoi l'indépendance des banques centrales est nécessaire</w:t>
        </w:r>
      </w:hyperlink>
    </w:p>
    <w:p w14:paraId="40234210" w14:textId="77777777" w:rsidR="00F86FAD" w:rsidRPr="00D72345" w:rsidRDefault="00000000">
      <w:pPr>
        <w:pStyle w:val="Titre1"/>
        <w:keepNext/>
        <w:spacing w:after="140"/>
        <w:rPr>
          <w:lang w:val="fr-FR"/>
        </w:rPr>
      </w:pPr>
      <w:r>
        <w:rPr>
          <w:rFonts w:eastAsia="Calibri"/>
          <w:b/>
          <w:color w:val="0B2545"/>
          <w:sz w:val="48"/>
          <w:lang w:val="fr-FR"/>
        </w:rPr>
        <w:t>2. Comment une décision est-elle prise ?</w:t>
      </w:r>
    </w:p>
    <w:p w14:paraId="23AA3C33" w14:textId="77777777" w:rsidR="00F86FAD" w:rsidRPr="00D72345" w:rsidRDefault="00000000">
      <w:pPr>
        <w:keepNext/>
        <w:spacing w:after="320"/>
        <w:rPr>
          <w:lang w:val="fr-FR"/>
        </w:rPr>
      </w:pPr>
      <w:r w:rsidRPr="00D72345">
        <w:rPr>
          <w:rFonts w:eastAsia="Calibri"/>
          <w:i/>
          <w:color w:val="1F4D78"/>
          <w:sz w:val="26"/>
          <w:lang w:val="fr-FR"/>
        </w:rPr>
        <w:t>Des données au communiqué : un processus, pas un simple bouton de taux.</w:t>
      </w:r>
    </w:p>
    <w:p w14:paraId="54D448F1" w14:textId="77777777" w:rsidR="00F86FAD" w:rsidRDefault="00000000">
      <w:pPr>
        <w:pStyle w:val="Titre2"/>
      </w:pPr>
      <w:r>
        <w:t xml:space="preserve">2.1 Le cycle </w:t>
      </w:r>
      <w:proofErr w:type="spellStart"/>
      <w:r>
        <w:t>d'une</w:t>
      </w:r>
      <w:proofErr w:type="spellEnd"/>
      <w:r>
        <w:t xml:space="preserve"> réunion</w:t>
      </w:r>
    </w:p>
    <w:p w14:paraId="6EFF2C46" w14:textId="77777777" w:rsidR="00F86FAD" w:rsidRPr="00D72345" w:rsidRDefault="00000000">
      <w:pPr>
        <w:numPr>
          <w:ilvl w:val="0"/>
          <w:numId w:val="1"/>
        </w:numPr>
        <w:spacing w:after="80" w:line="300" w:lineRule="auto"/>
        <w:rPr>
          <w:lang w:val="fr-FR"/>
        </w:rPr>
      </w:pPr>
      <w:r w:rsidRPr="00D72345">
        <w:rPr>
          <w:rFonts w:eastAsia="Calibri"/>
          <w:color w:val="111111"/>
          <w:lang w:val="fr-FR"/>
        </w:rPr>
        <w:t>Observer les données : inflation, salaires, emploi, consommation, crédit, logement, activité, conditions financières et risques mondiaux.</w:t>
      </w:r>
    </w:p>
    <w:p w14:paraId="4E527AC1" w14:textId="77777777" w:rsidR="00F86FAD" w:rsidRPr="00D72345" w:rsidRDefault="00000000">
      <w:pPr>
        <w:numPr>
          <w:ilvl w:val="0"/>
          <w:numId w:val="1"/>
        </w:numPr>
        <w:spacing w:after="80" w:line="300" w:lineRule="auto"/>
        <w:rPr>
          <w:lang w:val="fr-FR"/>
        </w:rPr>
      </w:pPr>
      <w:r w:rsidRPr="00D72345">
        <w:rPr>
          <w:rFonts w:eastAsia="Calibri"/>
          <w:color w:val="111111"/>
          <w:lang w:val="fr-FR"/>
        </w:rPr>
        <w:t>Construire des prévisions : scénario central, incertitudes et risques orientés à la hausse ou à la baisse.</w:t>
      </w:r>
    </w:p>
    <w:p w14:paraId="4D3C2BBC" w14:textId="77777777" w:rsidR="00F86FAD" w:rsidRPr="00D72345" w:rsidRDefault="00000000">
      <w:pPr>
        <w:numPr>
          <w:ilvl w:val="0"/>
          <w:numId w:val="1"/>
        </w:numPr>
        <w:spacing w:after="80" w:line="300" w:lineRule="auto"/>
        <w:rPr>
          <w:lang w:val="fr-FR"/>
        </w:rPr>
      </w:pPr>
      <w:r w:rsidRPr="00D72345">
        <w:rPr>
          <w:rFonts w:eastAsia="Calibri"/>
          <w:color w:val="111111"/>
          <w:lang w:val="fr-FR"/>
        </w:rPr>
        <w:t>Comparer l'économie au mandat : inflation trop forte, demande trop faible, emploi qui se détériore ou tensions financières.</w:t>
      </w:r>
    </w:p>
    <w:p w14:paraId="18669B2C" w14:textId="77777777" w:rsidR="00F86FAD" w:rsidRPr="00D72345" w:rsidRDefault="00000000">
      <w:pPr>
        <w:numPr>
          <w:ilvl w:val="0"/>
          <w:numId w:val="1"/>
        </w:numPr>
        <w:spacing w:after="80" w:line="300" w:lineRule="auto"/>
        <w:rPr>
          <w:lang w:val="fr-FR"/>
        </w:rPr>
      </w:pPr>
      <w:r w:rsidRPr="00D72345">
        <w:rPr>
          <w:rFonts w:eastAsia="Calibri"/>
          <w:color w:val="111111"/>
          <w:lang w:val="fr-FR"/>
        </w:rPr>
        <w:t>Débattre puis voter : le comité choisit la combinaison d'outils et le degré de fermeté du message.</w:t>
      </w:r>
    </w:p>
    <w:p w14:paraId="335BB297" w14:textId="77777777" w:rsidR="00F86FAD" w:rsidRPr="00D72345" w:rsidRDefault="00000000">
      <w:pPr>
        <w:numPr>
          <w:ilvl w:val="0"/>
          <w:numId w:val="1"/>
        </w:numPr>
        <w:spacing w:after="80" w:line="300" w:lineRule="auto"/>
        <w:rPr>
          <w:lang w:val="fr-FR"/>
        </w:rPr>
      </w:pPr>
      <w:r w:rsidRPr="00D72345">
        <w:rPr>
          <w:rFonts w:eastAsia="Calibri"/>
          <w:color w:val="111111"/>
          <w:lang w:val="fr-FR"/>
        </w:rPr>
        <w:t>Publier la décision : communiqué, projections éventuelles, conférence de presse, minutes puis discours ultérieurs.</w:t>
      </w:r>
    </w:p>
    <w:p w14:paraId="5FDF08E5" w14:textId="77777777" w:rsidR="00F86FAD" w:rsidRPr="00D72345" w:rsidRDefault="00000000">
      <w:pPr>
        <w:numPr>
          <w:ilvl w:val="0"/>
          <w:numId w:val="1"/>
        </w:numPr>
        <w:spacing w:after="80" w:line="300" w:lineRule="auto"/>
        <w:rPr>
          <w:lang w:val="fr-FR"/>
        </w:rPr>
      </w:pPr>
      <w:r w:rsidRPr="00D72345">
        <w:rPr>
          <w:rFonts w:eastAsia="Calibri"/>
          <w:color w:val="111111"/>
          <w:lang w:val="fr-FR"/>
        </w:rPr>
        <w:t>Mettre en œuvre : les opérations de la banque centrale maintiennent les taux de marché à très court terme autour de la zone souhaitée.</w:t>
      </w:r>
    </w:p>
    <w:p w14:paraId="0A652252" w14:textId="77777777" w:rsidR="00F86FAD" w:rsidRPr="00D72345" w:rsidRDefault="00000000">
      <w:pPr>
        <w:pStyle w:val="Titre2"/>
        <w:rPr>
          <w:lang w:val="fr-FR"/>
        </w:rPr>
      </w:pPr>
      <w:r w:rsidRPr="00D72345">
        <w:rPr>
          <w:lang w:val="fr-FR"/>
        </w:rPr>
        <w:t>2.2 La banque centrale est tournée vers l'avenir</w:t>
      </w:r>
    </w:p>
    <w:p w14:paraId="64E25132" w14:textId="77777777" w:rsidR="00F86FAD" w:rsidRPr="00D72345" w:rsidRDefault="00000000">
      <w:pPr>
        <w:rPr>
          <w:lang w:val="fr-FR"/>
        </w:rPr>
      </w:pPr>
      <w:r w:rsidRPr="00D72345">
        <w:rPr>
          <w:rFonts w:eastAsia="Calibri"/>
          <w:lang w:val="fr-FR"/>
        </w:rPr>
        <w:t>L'inflation publiée aujourd'hui décrit surtout le passé récent, alors que les décisions mettent du temps à atteindre l'économie. Le comité cherche donc à savoir où seront la demande, l'emploi et l'inflation dans plusieurs trimestres. Une banque peut réduire ses taux alors que l'inflation est encore élevée si elle juge le ralentissement futur suffisant ; elle peut aussi les maintenir élevés alors que l'inflation baisse si les pressions sous-jacentes restent fortes.</w:t>
      </w:r>
    </w:p>
    <w:p w14:paraId="5951C7D9" w14:textId="77777777" w:rsidR="00F86FAD" w:rsidRDefault="00000000">
      <w:pPr>
        <w:pStyle w:val="Titre2"/>
      </w:pPr>
      <w:r>
        <w:t>2.3 Les quatre dimensions d'une décision</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500"/>
        <w:gridCol w:w="3450"/>
        <w:gridCol w:w="4410"/>
      </w:tblGrid>
      <w:tr w:rsidR="00F86FAD" w:rsidRPr="00D72345" w14:paraId="26D9838A" w14:textId="77777777">
        <w:trPr>
          <w:cantSplit/>
          <w:tblHeader/>
        </w:trPr>
        <w:tc>
          <w:tcPr>
            <w:tcW w:w="1500" w:type="dxa"/>
            <w:shd w:val="clear" w:color="auto" w:fill="F4F6F9"/>
            <w:tcMar>
              <w:top w:w="80" w:type="dxa"/>
              <w:left w:w="120" w:type="dxa"/>
              <w:bottom w:w="80" w:type="dxa"/>
              <w:right w:w="120" w:type="dxa"/>
            </w:tcMar>
            <w:vAlign w:val="center"/>
          </w:tcPr>
          <w:p w14:paraId="316CC41F" w14:textId="77777777" w:rsidR="00F86FAD" w:rsidRDefault="00000000">
            <w:pPr>
              <w:spacing w:after="0" w:line="283" w:lineRule="auto"/>
              <w:jc w:val="left"/>
            </w:pPr>
            <w:r>
              <w:rPr>
                <w:rFonts w:eastAsia="Calibri"/>
                <w:b/>
                <w:color w:val="0B2545"/>
                <w:sz w:val="19"/>
              </w:rPr>
              <w:t>Dimension</w:t>
            </w:r>
          </w:p>
        </w:tc>
        <w:tc>
          <w:tcPr>
            <w:tcW w:w="3450" w:type="dxa"/>
            <w:shd w:val="clear" w:color="auto" w:fill="F4F6F9"/>
            <w:tcMar>
              <w:top w:w="80" w:type="dxa"/>
              <w:left w:w="120" w:type="dxa"/>
              <w:bottom w:w="80" w:type="dxa"/>
              <w:right w:w="120" w:type="dxa"/>
            </w:tcMar>
            <w:vAlign w:val="center"/>
          </w:tcPr>
          <w:p w14:paraId="34ACAF81" w14:textId="77777777" w:rsidR="00F86FAD" w:rsidRDefault="00000000">
            <w:pPr>
              <w:spacing w:after="0" w:line="283" w:lineRule="auto"/>
              <w:jc w:val="left"/>
            </w:pPr>
            <w:r>
              <w:rPr>
                <w:rFonts w:eastAsia="Calibri"/>
                <w:b/>
                <w:color w:val="0B2545"/>
                <w:sz w:val="19"/>
              </w:rPr>
              <w:t>Question</w:t>
            </w:r>
          </w:p>
        </w:tc>
        <w:tc>
          <w:tcPr>
            <w:tcW w:w="4410" w:type="dxa"/>
            <w:shd w:val="clear" w:color="auto" w:fill="F4F6F9"/>
            <w:tcMar>
              <w:top w:w="80" w:type="dxa"/>
              <w:left w:w="120" w:type="dxa"/>
              <w:bottom w:w="80" w:type="dxa"/>
              <w:right w:w="120" w:type="dxa"/>
            </w:tcMar>
            <w:vAlign w:val="center"/>
          </w:tcPr>
          <w:p w14:paraId="5FD5C453" w14:textId="77777777" w:rsidR="00F86FAD" w:rsidRPr="00D72345" w:rsidRDefault="00000000">
            <w:pPr>
              <w:spacing w:after="0" w:line="283" w:lineRule="auto"/>
              <w:jc w:val="left"/>
              <w:rPr>
                <w:lang w:val="fr-FR"/>
              </w:rPr>
            </w:pPr>
            <w:r w:rsidRPr="00D72345">
              <w:rPr>
                <w:rFonts w:eastAsia="Calibri"/>
                <w:b/>
                <w:color w:val="0B2545"/>
                <w:sz w:val="19"/>
                <w:lang w:val="fr-FR"/>
              </w:rPr>
              <w:t>Pourquoi le marché la suit</w:t>
            </w:r>
          </w:p>
        </w:tc>
      </w:tr>
      <w:tr w:rsidR="00F86FAD" w:rsidRPr="00D72345" w14:paraId="52D3A9D5" w14:textId="77777777">
        <w:trPr>
          <w:cantSplit/>
        </w:trPr>
        <w:tc>
          <w:tcPr>
            <w:tcW w:w="1500" w:type="dxa"/>
            <w:tcMar>
              <w:top w:w="80" w:type="dxa"/>
              <w:left w:w="120" w:type="dxa"/>
              <w:bottom w:w="80" w:type="dxa"/>
              <w:right w:w="120" w:type="dxa"/>
            </w:tcMar>
            <w:vAlign w:val="center"/>
          </w:tcPr>
          <w:p w14:paraId="01980161" w14:textId="77777777" w:rsidR="00F86FAD" w:rsidRDefault="00000000">
            <w:pPr>
              <w:spacing w:after="0" w:line="283" w:lineRule="auto"/>
              <w:jc w:val="left"/>
            </w:pPr>
            <w:proofErr w:type="spellStart"/>
            <w:r>
              <w:rPr>
                <w:rFonts w:eastAsia="Calibri"/>
                <w:sz w:val="19"/>
              </w:rPr>
              <w:t>Niveau</w:t>
            </w:r>
            <w:proofErr w:type="spellEnd"/>
          </w:p>
        </w:tc>
        <w:tc>
          <w:tcPr>
            <w:tcW w:w="3450" w:type="dxa"/>
            <w:tcMar>
              <w:top w:w="80" w:type="dxa"/>
              <w:left w:w="120" w:type="dxa"/>
              <w:bottom w:w="80" w:type="dxa"/>
              <w:right w:w="120" w:type="dxa"/>
            </w:tcMar>
            <w:vAlign w:val="center"/>
          </w:tcPr>
          <w:p w14:paraId="3F799B37" w14:textId="77777777" w:rsidR="00F86FAD" w:rsidRPr="00D72345" w:rsidRDefault="00000000">
            <w:pPr>
              <w:spacing w:after="0" w:line="283" w:lineRule="auto"/>
              <w:jc w:val="left"/>
              <w:rPr>
                <w:lang w:val="fr-FR"/>
              </w:rPr>
            </w:pPr>
            <w:r w:rsidRPr="00D72345">
              <w:rPr>
                <w:rFonts w:eastAsia="Calibri"/>
                <w:sz w:val="19"/>
                <w:lang w:val="fr-FR"/>
              </w:rPr>
              <w:t>Où se situe le taux aujourd'hui ?</w:t>
            </w:r>
          </w:p>
        </w:tc>
        <w:tc>
          <w:tcPr>
            <w:tcW w:w="4410" w:type="dxa"/>
            <w:tcMar>
              <w:top w:w="80" w:type="dxa"/>
              <w:left w:w="120" w:type="dxa"/>
              <w:bottom w:w="80" w:type="dxa"/>
              <w:right w:w="120" w:type="dxa"/>
            </w:tcMar>
            <w:vAlign w:val="center"/>
          </w:tcPr>
          <w:p w14:paraId="37445091" w14:textId="77777777" w:rsidR="00F86FAD" w:rsidRPr="00D72345" w:rsidRDefault="00000000">
            <w:pPr>
              <w:spacing w:after="0" w:line="283" w:lineRule="auto"/>
              <w:jc w:val="left"/>
              <w:rPr>
                <w:lang w:val="fr-FR"/>
              </w:rPr>
            </w:pPr>
            <w:r w:rsidRPr="00D72345">
              <w:rPr>
                <w:rFonts w:eastAsia="Calibri"/>
                <w:sz w:val="19"/>
                <w:lang w:val="fr-FR"/>
              </w:rPr>
              <w:t>Il influence directement le financement très court et le régime monétaire.</w:t>
            </w:r>
          </w:p>
        </w:tc>
      </w:tr>
      <w:tr w:rsidR="00F86FAD" w:rsidRPr="00D72345" w14:paraId="6F6A75A9" w14:textId="77777777">
        <w:trPr>
          <w:cantSplit/>
        </w:trPr>
        <w:tc>
          <w:tcPr>
            <w:tcW w:w="1500" w:type="dxa"/>
            <w:shd w:val="clear" w:color="auto" w:fill="FAFBFC"/>
            <w:tcMar>
              <w:top w:w="80" w:type="dxa"/>
              <w:left w:w="120" w:type="dxa"/>
              <w:bottom w:w="80" w:type="dxa"/>
              <w:right w:w="120" w:type="dxa"/>
            </w:tcMar>
            <w:vAlign w:val="center"/>
          </w:tcPr>
          <w:p w14:paraId="1D274472" w14:textId="77777777" w:rsidR="00F86FAD" w:rsidRDefault="00000000">
            <w:pPr>
              <w:spacing w:after="0" w:line="283" w:lineRule="auto"/>
              <w:jc w:val="left"/>
            </w:pPr>
            <w:r>
              <w:rPr>
                <w:rFonts w:eastAsia="Calibri"/>
                <w:sz w:val="19"/>
              </w:rPr>
              <w:t>Direction</w:t>
            </w:r>
          </w:p>
        </w:tc>
        <w:tc>
          <w:tcPr>
            <w:tcW w:w="3450" w:type="dxa"/>
            <w:shd w:val="clear" w:color="auto" w:fill="FAFBFC"/>
            <w:tcMar>
              <w:top w:w="80" w:type="dxa"/>
              <w:left w:w="120" w:type="dxa"/>
              <w:bottom w:w="80" w:type="dxa"/>
              <w:right w:w="120" w:type="dxa"/>
            </w:tcMar>
            <w:vAlign w:val="center"/>
          </w:tcPr>
          <w:p w14:paraId="06798AC1" w14:textId="77777777" w:rsidR="00F86FAD" w:rsidRPr="00D72345" w:rsidRDefault="00000000">
            <w:pPr>
              <w:spacing w:after="0" w:line="283" w:lineRule="auto"/>
              <w:jc w:val="left"/>
              <w:rPr>
                <w:lang w:val="fr-FR"/>
              </w:rPr>
            </w:pPr>
            <w:r w:rsidRPr="00D72345">
              <w:rPr>
                <w:rFonts w:eastAsia="Calibri"/>
                <w:sz w:val="19"/>
                <w:lang w:val="fr-FR"/>
              </w:rPr>
              <w:t>La prochaine étape est-elle hausse, pause ou baisse ?</w:t>
            </w:r>
          </w:p>
        </w:tc>
        <w:tc>
          <w:tcPr>
            <w:tcW w:w="4410" w:type="dxa"/>
            <w:shd w:val="clear" w:color="auto" w:fill="FAFBFC"/>
            <w:tcMar>
              <w:top w:w="80" w:type="dxa"/>
              <w:left w:w="120" w:type="dxa"/>
              <w:bottom w:w="80" w:type="dxa"/>
              <w:right w:w="120" w:type="dxa"/>
            </w:tcMar>
            <w:vAlign w:val="center"/>
          </w:tcPr>
          <w:p w14:paraId="7FCCD092" w14:textId="77777777" w:rsidR="00F86FAD" w:rsidRPr="00D72345" w:rsidRDefault="00000000">
            <w:pPr>
              <w:spacing w:after="0" w:line="283" w:lineRule="auto"/>
              <w:jc w:val="left"/>
              <w:rPr>
                <w:lang w:val="fr-FR"/>
              </w:rPr>
            </w:pPr>
            <w:r w:rsidRPr="00D72345">
              <w:rPr>
                <w:rFonts w:eastAsia="Calibri"/>
                <w:sz w:val="19"/>
                <w:lang w:val="fr-FR"/>
              </w:rPr>
              <w:t>Les actifs évaluent surtout la trajectoire future.</w:t>
            </w:r>
          </w:p>
        </w:tc>
      </w:tr>
      <w:tr w:rsidR="00F86FAD" w:rsidRPr="00D72345" w14:paraId="7C7B6161" w14:textId="77777777">
        <w:trPr>
          <w:cantSplit/>
        </w:trPr>
        <w:tc>
          <w:tcPr>
            <w:tcW w:w="1500" w:type="dxa"/>
            <w:tcMar>
              <w:top w:w="80" w:type="dxa"/>
              <w:left w:w="120" w:type="dxa"/>
              <w:bottom w:w="80" w:type="dxa"/>
              <w:right w:w="120" w:type="dxa"/>
            </w:tcMar>
            <w:vAlign w:val="center"/>
          </w:tcPr>
          <w:p w14:paraId="6230C1B7" w14:textId="77777777" w:rsidR="00F86FAD" w:rsidRDefault="00000000">
            <w:pPr>
              <w:spacing w:after="0" w:line="283" w:lineRule="auto"/>
              <w:jc w:val="left"/>
            </w:pPr>
            <w:r>
              <w:rPr>
                <w:rFonts w:eastAsia="Calibri"/>
                <w:sz w:val="19"/>
              </w:rPr>
              <w:t>Vitesse</w:t>
            </w:r>
          </w:p>
        </w:tc>
        <w:tc>
          <w:tcPr>
            <w:tcW w:w="3450" w:type="dxa"/>
            <w:tcMar>
              <w:top w:w="80" w:type="dxa"/>
              <w:left w:w="120" w:type="dxa"/>
              <w:bottom w:w="80" w:type="dxa"/>
              <w:right w:w="120" w:type="dxa"/>
            </w:tcMar>
            <w:vAlign w:val="center"/>
          </w:tcPr>
          <w:p w14:paraId="038463EC" w14:textId="77777777" w:rsidR="00F86FAD" w:rsidRPr="00D72345" w:rsidRDefault="00000000">
            <w:pPr>
              <w:spacing w:after="0" w:line="283" w:lineRule="auto"/>
              <w:jc w:val="left"/>
              <w:rPr>
                <w:lang w:val="fr-FR"/>
              </w:rPr>
            </w:pPr>
            <w:r w:rsidRPr="00D72345">
              <w:rPr>
                <w:rFonts w:eastAsia="Calibri"/>
                <w:sz w:val="19"/>
                <w:lang w:val="fr-FR"/>
              </w:rPr>
              <w:t>Le mouvement sera-t-il rapide ou graduel ?</w:t>
            </w:r>
          </w:p>
        </w:tc>
        <w:tc>
          <w:tcPr>
            <w:tcW w:w="4410" w:type="dxa"/>
            <w:tcMar>
              <w:top w:w="80" w:type="dxa"/>
              <w:left w:w="120" w:type="dxa"/>
              <w:bottom w:w="80" w:type="dxa"/>
              <w:right w:w="120" w:type="dxa"/>
            </w:tcMar>
            <w:vAlign w:val="center"/>
          </w:tcPr>
          <w:p w14:paraId="08FA116E" w14:textId="77777777" w:rsidR="00F86FAD" w:rsidRPr="00D72345" w:rsidRDefault="00000000">
            <w:pPr>
              <w:spacing w:after="0" w:line="283" w:lineRule="auto"/>
              <w:jc w:val="left"/>
              <w:rPr>
                <w:lang w:val="fr-FR"/>
              </w:rPr>
            </w:pPr>
            <w:r w:rsidRPr="00D72345">
              <w:rPr>
                <w:rFonts w:eastAsia="Calibri"/>
                <w:sz w:val="19"/>
                <w:lang w:val="fr-FR"/>
              </w:rPr>
              <w:t>Une variation brutale modifie plus fortement les conditions financières.</w:t>
            </w:r>
          </w:p>
        </w:tc>
      </w:tr>
      <w:tr w:rsidR="00F86FAD" w:rsidRPr="00D72345" w14:paraId="5EB35C7D" w14:textId="77777777">
        <w:trPr>
          <w:cantSplit/>
        </w:trPr>
        <w:tc>
          <w:tcPr>
            <w:tcW w:w="1500" w:type="dxa"/>
            <w:shd w:val="clear" w:color="auto" w:fill="FAFBFC"/>
            <w:tcMar>
              <w:top w:w="80" w:type="dxa"/>
              <w:left w:w="120" w:type="dxa"/>
              <w:bottom w:w="80" w:type="dxa"/>
              <w:right w:w="120" w:type="dxa"/>
            </w:tcMar>
            <w:vAlign w:val="center"/>
          </w:tcPr>
          <w:p w14:paraId="2453BDD3" w14:textId="77777777" w:rsidR="00F86FAD" w:rsidRDefault="00000000">
            <w:pPr>
              <w:spacing w:after="0" w:line="283" w:lineRule="auto"/>
              <w:jc w:val="left"/>
            </w:pPr>
            <w:r>
              <w:rPr>
                <w:rFonts w:eastAsia="Calibri"/>
                <w:sz w:val="19"/>
              </w:rPr>
              <w:t>Durée</w:t>
            </w:r>
          </w:p>
        </w:tc>
        <w:tc>
          <w:tcPr>
            <w:tcW w:w="3450" w:type="dxa"/>
            <w:shd w:val="clear" w:color="auto" w:fill="FAFBFC"/>
            <w:tcMar>
              <w:top w:w="80" w:type="dxa"/>
              <w:left w:w="120" w:type="dxa"/>
              <w:bottom w:w="80" w:type="dxa"/>
              <w:right w:w="120" w:type="dxa"/>
            </w:tcMar>
            <w:vAlign w:val="center"/>
          </w:tcPr>
          <w:p w14:paraId="3BA61D98" w14:textId="77777777" w:rsidR="00F86FAD" w:rsidRPr="00D72345" w:rsidRDefault="00000000">
            <w:pPr>
              <w:spacing w:after="0" w:line="283" w:lineRule="auto"/>
              <w:jc w:val="left"/>
              <w:rPr>
                <w:lang w:val="fr-FR"/>
              </w:rPr>
            </w:pPr>
            <w:r w:rsidRPr="00D72345">
              <w:rPr>
                <w:rFonts w:eastAsia="Calibri"/>
                <w:sz w:val="19"/>
                <w:lang w:val="fr-FR"/>
              </w:rPr>
              <w:t>Combien de temps la politique restera-t-elle restrictive ou souple ?</w:t>
            </w:r>
          </w:p>
        </w:tc>
        <w:tc>
          <w:tcPr>
            <w:tcW w:w="4410" w:type="dxa"/>
            <w:shd w:val="clear" w:color="auto" w:fill="FAFBFC"/>
            <w:tcMar>
              <w:top w:w="80" w:type="dxa"/>
              <w:left w:w="120" w:type="dxa"/>
              <w:bottom w:w="80" w:type="dxa"/>
              <w:right w:w="120" w:type="dxa"/>
            </w:tcMar>
            <w:vAlign w:val="center"/>
          </w:tcPr>
          <w:p w14:paraId="6ECA372B" w14:textId="77777777" w:rsidR="00F86FAD" w:rsidRPr="00D72345" w:rsidRDefault="00000000">
            <w:pPr>
              <w:spacing w:after="0" w:line="283" w:lineRule="auto"/>
              <w:jc w:val="left"/>
              <w:rPr>
                <w:lang w:val="fr-FR"/>
              </w:rPr>
            </w:pPr>
            <w:r w:rsidRPr="00D72345">
              <w:rPr>
                <w:rFonts w:eastAsia="Calibri"/>
                <w:sz w:val="19"/>
                <w:lang w:val="fr-FR"/>
              </w:rPr>
              <w:t>Les taux longs et les valorisations dépendent de plusieurs années d'anticipations.</w:t>
            </w:r>
          </w:p>
        </w:tc>
      </w:tr>
    </w:tbl>
    <w:p w14:paraId="21F00898" w14:textId="77777777" w:rsidR="00F86FAD" w:rsidRPr="00D72345" w:rsidRDefault="00F86FAD">
      <w:pPr>
        <w:spacing w:after="100"/>
        <w:rPr>
          <w:lang w:val="fr-FR"/>
        </w:rPr>
      </w:pPr>
    </w:p>
    <w:p w14:paraId="10867940" w14:textId="77777777" w:rsidR="00F86FAD" w:rsidRDefault="00000000">
      <w:pPr>
        <w:pStyle w:val="Titre2"/>
      </w:pPr>
      <w:r>
        <w:t>2.4 Hawkish, dovish et neutre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100"/>
        <w:gridCol w:w="3600"/>
        <w:gridCol w:w="3660"/>
      </w:tblGrid>
      <w:tr w:rsidR="00F86FAD" w14:paraId="5A1DBA16" w14:textId="77777777">
        <w:trPr>
          <w:cantSplit/>
          <w:tblHeader/>
        </w:trPr>
        <w:tc>
          <w:tcPr>
            <w:tcW w:w="2100" w:type="dxa"/>
            <w:shd w:val="clear" w:color="auto" w:fill="F4F6F9"/>
            <w:tcMar>
              <w:top w:w="80" w:type="dxa"/>
              <w:left w:w="120" w:type="dxa"/>
              <w:bottom w:w="80" w:type="dxa"/>
              <w:right w:w="120" w:type="dxa"/>
            </w:tcMar>
            <w:vAlign w:val="center"/>
          </w:tcPr>
          <w:p w14:paraId="11E65169" w14:textId="77777777" w:rsidR="00F86FAD" w:rsidRDefault="00000000">
            <w:pPr>
              <w:spacing w:after="0" w:line="283" w:lineRule="auto"/>
              <w:jc w:val="left"/>
            </w:pPr>
            <w:r>
              <w:rPr>
                <w:rFonts w:eastAsia="Calibri"/>
                <w:b/>
                <w:color w:val="0B2545"/>
                <w:sz w:val="19"/>
              </w:rPr>
              <w:t>Terme</w:t>
            </w:r>
          </w:p>
        </w:tc>
        <w:tc>
          <w:tcPr>
            <w:tcW w:w="3600" w:type="dxa"/>
            <w:shd w:val="clear" w:color="auto" w:fill="F4F6F9"/>
            <w:tcMar>
              <w:top w:w="80" w:type="dxa"/>
              <w:left w:w="120" w:type="dxa"/>
              <w:bottom w:w="80" w:type="dxa"/>
              <w:right w:w="120" w:type="dxa"/>
            </w:tcMar>
            <w:vAlign w:val="center"/>
          </w:tcPr>
          <w:p w14:paraId="4BCDF5B9" w14:textId="77777777" w:rsidR="00F86FAD" w:rsidRDefault="00000000">
            <w:pPr>
              <w:spacing w:after="0" w:line="283" w:lineRule="auto"/>
              <w:jc w:val="left"/>
            </w:pPr>
            <w:r>
              <w:rPr>
                <w:rFonts w:eastAsia="Calibri"/>
                <w:b/>
                <w:color w:val="0B2545"/>
                <w:sz w:val="19"/>
              </w:rPr>
              <w:t>Sens</w:t>
            </w:r>
          </w:p>
        </w:tc>
        <w:tc>
          <w:tcPr>
            <w:tcW w:w="3660" w:type="dxa"/>
            <w:shd w:val="clear" w:color="auto" w:fill="F4F6F9"/>
            <w:tcMar>
              <w:top w:w="80" w:type="dxa"/>
              <w:left w:w="120" w:type="dxa"/>
              <w:bottom w:w="80" w:type="dxa"/>
              <w:right w:w="120" w:type="dxa"/>
            </w:tcMar>
            <w:vAlign w:val="center"/>
          </w:tcPr>
          <w:p w14:paraId="3758861C" w14:textId="77777777" w:rsidR="00F86FAD" w:rsidRDefault="00000000">
            <w:pPr>
              <w:spacing w:after="0" w:line="283" w:lineRule="auto"/>
              <w:jc w:val="left"/>
            </w:pPr>
            <w:r>
              <w:rPr>
                <w:rFonts w:eastAsia="Calibri"/>
                <w:b/>
                <w:color w:val="0B2545"/>
                <w:sz w:val="19"/>
              </w:rPr>
              <w:t>Message typique</w:t>
            </w:r>
          </w:p>
        </w:tc>
      </w:tr>
      <w:tr w:rsidR="00F86FAD" w:rsidRPr="00D72345" w14:paraId="38F13784" w14:textId="77777777">
        <w:trPr>
          <w:cantSplit/>
        </w:trPr>
        <w:tc>
          <w:tcPr>
            <w:tcW w:w="2100" w:type="dxa"/>
            <w:tcMar>
              <w:top w:w="80" w:type="dxa"/>
              <w:left w:w="120" w:type="dxa"/>
              <w:bottom w:w="80" w:type="dxa"/>
              <w:right w:w="120" w:type="dxa"/>
            </w:tcMar>
            <w:vAlign w:val="center"/>
          </w:tcPr>
          <w:p w14:paraId="4178B6A2" w14:textId="77777777" w:rsidR="00F86FAD" w:rsidRDefault="00000000">
            <w:pPr>
              <w:spacing w:after="0" w:line="283" w:lineRule="auto"/>
              <w:jc w:val="left"/>
            </w:pPr>
            <w:r>
              <w:rPr>
                <w:rFonts w:eastAsia="Calibri"/>
                <w:sz w:val="19"/>
              </w:rPr>
              <w:t>Hawkish / restrictif</w:t>
            </w:r>
          </w:p>
        </w:tc>
        <w:tc>
          <w:tcPr>
            <w:tcW w:w="3600" w:type="dxa"/>
            <w:tcMar>
              <w:top w:w="80" w:type="dxa"/>
              <w:left w:w="120" w:type="dxa"/>
              <w:bottom w:w="80" w:type="dxa"/>
              <w:right w:w="120" w:type="dxa"/>
            </w:tcMar>
            <w:vAlign w:val="center"/>
          </w:tcPr>
          <w:p w14:paraId="4F033A1F" w14:textId="77777777" w:rsidR="00F86FAD" w:rsidRPr="00D72345" w:rsidRDefault="00000000">
            <w:pPr>
              <w:spacing w:after="0" w:line="283" w:lineRule="auto"/>
              <w:jc w:val="left"/>
              <w:rPr>
                <w:lang w:val="fr-FR"/>
              </w:rPr>
            </w:pPr>
            <w:r w:rsidRPr="00D72345">
              <w:rPr>
                <w:rFonts w:eastAsia="Calibri"/>
                <w:sz w:val="19"/>
                <w:lang w:val="fr-FR"/>
              </w:rPr>
              <w:t>Priorité plus forte à la lutte contre l'inflation</w:t>
            </w:r>
          </w:p>
        </w:tc>
        <w:tc>
          <w:tcPr>
            <w:tcW w:w="3660" w:type="dxa"/>
            <w:tcMar>
              <w:top w:w="80" w:type="dxa"/>
              <w:left w:w="120" w:type="dxa"/>
              <w:bottom w:w="80" w:type="dxa"/>
              <w:right w:w="120" w:type="dxa"/>
            </w:tcMar>
            <w:vAlign w:val="center"/>
          </w:tcPr>
          <w:p w14:paraId="49D985DC" w14:textId="77777777" w:rsidR="00F86FAD" w:rsidRPr="00D72345" w:rsidRDefault="00000000">
            <w:pPr>
              <w:spacing w:after="0" w:line="283" w:lineRule="auto"/>
              <w:jc w:val="left"/>
              <w:rPr>
                <w:lang w:val="fr-FR"/>
              </w:rPr>
            </w:pPr>
            <w:r w:rsidRPr="00D72345">
              <w:rPr>
                <w:rFonts w:eastAsia="Calibri"/>
                <w:sz w:val="19"/>
                <w:lang w:val="fr-FR"/>
              </w:rPr>
              <w:t>Taux plus hauts, plus longtemps, ou réduction du bilan plus ferme</w:t>
            </w:r>
          </w:p>
        </w:tc>
      </w:tr>
      <w:tr w:rsidR="00F86FAD" w:rsidRPr="00D72345" w14:paraId="50172E1C" w14:textId="77777777">
        <w:trPr>
          <w:cantSplit/>
        </w:trPr>
        <w:tc>
          <w:tcPr>
            <w:tcW w:w="2100" w:type="dxa"/>
            <w:shd w:val="clear" w:color="auto" w:fill="FAFBFC"/>
            <w:tcMar>
              <w:top w:w="80" w:type="dxa"/>
              <w:left w:w="120" w:type="dxa"/>
              <w:bottom w:w="80" w:type="dxa"/>
              <w:right w:w="120" w:type="dxa"/>
            </w:tcMar>
            <w:vAlign w:val="center"/>
          </w:tcPr>
          <w:p w14:paraId="18EBA0B1" w14:textId="77777777" w:rsidR="00F86FAD" w:rsidRDefault="00000000">
            <w:pPr>
              <w:spacing w:after="0" w:line="283" w:lineRule="auto"/>
              <w:jc w:val="left"/>
            </w:pPr>
            <w:r>
              <w:rPr>
                <w:rFonts w:eastAsia="Calibri"/>
                <w:sz w:val="19"/>
              </w:rPr>
              <w:t xml:space="preserve">Dovish / </w:t>
            </w:r>
            <w:proofErr w:type="spellStart"/>
            <w:r>
              <w:rPr>
                <w:rFonts w:eastAsia="Calibri"/>
                <w:sz w:val="19"/>
              </w:rPr>
              <w:t>accommodant</w:t>
            </w:r>
            <w:proofErr w:type="spellEnd"/>
          </w:p>
        </w:tc>
        <w:tc>
          <w:tcPr>
            <w:tcW w:w="3600" w:type="dxa"/>
            <w:shd w:val="clear" w:color="auto" w:fill="FAFBFC"/>
            <w:tcMar>
              <w:top w:w="80" w:type="dxa"/>
              <w:left w:w="120" w:type="dxa"/>
              <w:bottom w:w="80" w:type="dxa"/>
              <w:right w:w="120" w:type="dxa"/>
            </w:tcMar>
            <w:vAlign w:val="center"/>
          </w:tcPr>
          <w:p w14:paraId="228062B2" w14:textId="77777777" w:rsidR="00F86FAD" w:rsidRPr="00D72345" w:rsidRDefault="00000000">
            <w:pPr>
              <w:spacing w:after="0" w:line="283" w:lineRule="auto"/>
              <w:jc w:val="left"/>
              <w:rPr>
                <w:lang w:val="fr-FR"/>
              </w:rPr>
            </w:pPr>
            <w:r w:rsidRPr="00D72345">
              <w:rPr>
                <w:rFonts w:eastAsia="Calibri"/>
                <w:sz w:val="19"/>
                <w:lang w:val="fr-FR"/>
              </w:rPr>
              <w:t>Priorité plus forte au soutien de l'activité et de l'emploi</w:t>
            </w:r>
          </w:p>
        </w:tc>
        <w:tc>
          <w:tcPr>
            <w:tcW w:w="3660" w:type="dxa"/>
            <w:shd w:val="clear" w:color="auto" w:fill="FAFBFC"/>
            <w:tcMar>
              <w:top w:w="80" w:type="dxa"/>
              <w:left w:w="120" w:type="dxa"/>
              <w:bottom w:w="80" w:type="dxa"/>
              <w:right w:w="120" w:type="dxa"/>
            </w:tcMar>
            <w:vAlign w:val="center"/>
          </w:tcPr>
          <w:p w14:paraId="32570994" w14:textId="77777777" w:rsidR="00F86FAD" w:rsidRPr="00D72345" w:rsidRDefault="00000000">
            <w:pPr>
              <w:spacing w:after="0" w:line="283" w:lineRule="auto"/>
              <w:jc w:val="left"/>
              <w:rPr>
                <w:lang w:val="fr-FR"/>
              </w:rPr>
            </w:pPr>
            <w:r w:rsidRPr="00D72345">
              <w:rPr>
                <w:rFonts w:eastAsia="Calibri"/>
                <w:sz w:val="19"/>
                <w:lang w:val="fr-FR"/>
              </w:rPr>
              <w:t>Baisses possibles, liquidité accrue ou bilan plus souple</w:t>
            </w:r>
          </w:p>
        </w:tc>
      </w:tr>
      <w:tr w:rsidR="00F86FAD" w:rsidRPr="00D72345" w14:paraId="4255CF0F" w14:textId="77777777">
        <w:trPr>
          <w:cantSplit/>
        </w:trPr>
        <w:tc>
          <w:tcPr>
            <w:tcW w:w="2100" w:type="dxa"/>
            <w:tcMar>
              <w:top w:w="80" w:type="dxa"/>
              <w:left w:w="120" w:type="dxa"/>
              <w:bottom w:w="80" w:type="dxa"/>
              <w:right w:w="120" w:type="dxa"/>
            </w:tcMar>
            <w:vAlign w:val="center"/>
          </w:tcPr>
          <w:p w14:paraId="2450BC9E" w14:textId="77777777" w:rsidR="00F86FAD" w:rsidRDefault="00000000">
            <w:pPr>
              <w:spacing w:after="0" w:line="283" w:lineRule="auto"/>
              <w:jc w:val="left"/>
            </w:pPr>
            <w:proofErr w:type="spellStart"/>
            <w:r>
              <w:rPr>
                <w:rFonts w:eastAsia="Calibri"/>
                <w:sz w:val="19"/>
              </w:rPr>
              <w:t>Neutre</w:t>
            </w:r>
            <w:proofErr w:type="spellEnd"/>
            <w:r>
              <w:rPr>
                <w:rFonts w:eastAsia="Calibri"/>
                <w:sz w:val="19"/>
              </w:rPr>
              <w:t xml:space="preserve"> / </w:t>
            </w:r>
            <w:proofErr w:type="spellStart"/>
            <w:r>
              <w:rPr>
                <w:rFonts w:eastAsia="Calibri"/>
                <w:sz w:val="19"/>
              </w:rPr>
              <w:t>équilibré</w:t>
            </w:r>
            <w:proofErr w:type="spellEnd"/>
          </w:p>
        </w:tc>
        <w:tc>
          <w:tcPr>
            <w:tcW w:w="3600" w:type="dxa"/>
            <w:tcMar>
              <w:top w:w="80" w:type="dxa"/>
              <w:left w:w="120" w:type="dxa"/>
              <w:bottom w:w="80" w:type="dxa"/>
              <w:right w:w="120" w:type="dxa"/>
            </w:tcMar>
            <w:vAlign w:val="center"/>
          </w:tcPr>
          <w:p w14:paraId="4860C813" w14:textId="77777777" w:rsidR="00F86FAD" w:rsidRPr="00D72345" w:rsidRDefault="00000000">
            <w:pPr>
              <w:spacing w:after="0" w:line="283" w:lineRule="auto"/>
              <w:jc w:val="left"/>
              <w:rPr>
                <w:lang w:val="fr-FR"/>
              </w:rPr>
            </w:pPr>
            <w:r w:rsidRPr="00D72345">
              <w:rPr>
                <w:rFonts w:eastAsia="Calibri"/>
                <w:sz w:val="19"/>
                <w:lang w:val="fr-FR"/>
              </w:rPr>
              <w:t>Pas de direction fortement signalée</w:t>
            </w:r>
          </w:p>
        </w:tc>
        <w:tc>
          <w:tcPr>
            <w:tcW w:w="3660" w:type="dxa"/>
            <w:tcMar>
              <w:top w:w="80" w:type="dxa"/>
              <w:left w:w="120" w:type="dxa"/>
              <w:bottom w:w="80" w:type="dxa"/>
              <w:right w:w="120" w:type="dxa"/>
            </w:tcMar>
            <w:vAlign w:val="center"/>
          </w:tcPr>
          <w:p w14:paraId="43E8501A" w14:textId="77777777" w:rsidR="00F86FAD" w:rsidRPr="00D72345" w:rsidRDefault="00000000">
            <w:pPr>
              <w:spacing w:after="0" w:line="283" w:lineRule="auto"/>
              <w:jc w:val="left"/>
              <w:rPr>
                <w:lang w:val="fr-FR"/>
              </w:rPr>
            </w:pPr>
            <w:r w:rsidRPr="00D72345">
              <w:rPr>
                <w:rFonts w:eastAsia="Calibri"/>
                <w:sz w:val="19"/>
                <w:lang w:val="fr-FR"/>
              </w:rPr>
              <w:t>Décisions dépendantes des données et risques jugés équilibrés</w:t>
            </w:r>
          </w:p>
        </w:tc>
      </w:tr>
    </w:tbl>
    <w:p w14:paraId="70F55594" w14:textId="77777777" w:rsidR="00F86FAD" w:rsidRPr="00D72345" w:rsidRDefault="00F86FAD">
      <w:pPr>
        <w:spacing w:after="100"/>
        <w:rPr>
          <w:lang w:val="fr-FR"/>
        </w:rPr>
      </w:pPr>
    </w:p>
    <w:p w14:paraId="0EE0F486" w14:textId="77777777" w:rsidR="00F86FAD" w:rsidRPr="00D72345" w:rsidRDefault="00000000">
      <w:pPr>
        <w:keepLines/>
        <w:pBdr>
          <w:left w:val="single" w:sz="18" w:space="8" w:color="8A6400"/>
        </w:pBdr>
        <w:shd w:val="clear" w:color="auto" w:fill="FFF7DD"/>
        <w:spacing w:before="100" w:after="200" w:line="288" w:lineRule="auto"/>
        <w:ind w:left="173" w:right="115"/>
        <w:rPr>
          <w:lang w:val="fr-FR"/>
        </w:rPr>
      </w:pPr>
      <w:proofErr w:type="gramStart"/>
      <w:r w:rsidRPr="00D72345">
        <w:rPr>
          <w:rFonts w:eastAsia="Calibri"/>
          <w:b/>
          <w:color w:val="8A6400"/>
          <w:sz w:val="20"/>
          <w:lang w:val="fr-FR"/>
        </w:rPr>
        <w:t xml:space="preserve">NUANCE  </w:t>
      </w:r>
      <w:r w:rsidRPr="00D72345">
        <w:rPr>
          <w:rFonts w:eastAsia="Calibri"/>
          <w:sz w:val="21"/>
          <w:lang w:val="fr-FR"/>
        </w:rPr>
        <w:t>Un</w:t>
      </w:r>
      <w:proofErr w:type="gramEnd"/>
      <w:r w:rsidRPr="00D72345">
        <w:rPr>
          <w:rFonts w:eastAsia="Calibri"/>
          <w:sz w:val="21"/>
          <w:lang w:val="fr-FR"/>
        </w:rPr>
        <w:t xml:space="preserve"> taux inchangé peut être </w:t>
      </w:r>
      <w:proofErr w:type="spellStart"/>
      <w:r w:rsidRPr="00D72345">
        <w:rPr>
          <w:rFonts w:eastAsia="Calibri"/>
          <w:sz w:val="21"/>
          <w:lang w:val="fr-FR"/>
        </w:rPr>
        <w:t>hawkish</w:t>
      </w:r>
      <w:proofErr w:type="spellEnd"/>
      <w:r w:rsidRPr="00D72345">
        <w:rPr>
          <w:rFonts w:eastAsia="Calibri"/>
          <w:sz w:val="21"/>
          <w:lang w:val="fr-FR"/>
        </w:rPr>
        <w:t xml:space="preserve"> si la banque promet de le maintenir élevé plus longtemps. Une hausse peut être </w:t>
      </w:r>
      <w:proofErr w:type="spellStart"/>
      <w:r w:rsidRPr="00D72345">
        <w:rPr>
          <w:rFonts w:eastAsia="Calibri"/>
          <w:sz w:val="21"/>
          <w:lang w:val="fr-FR"/>
        </w:rPr>
        <w:t>dovish</w:t>
      </w:r>
      <w:proofErr w:type="spellEnd"/>
      <w:r w:rsidRPr="00D72345">
        <w:rPr>
          <w:rFonts w:eastAsia="Calibri"/>
          <w:sz w:val="21"/>
          <w:lang w:val="fr-FR"/>
        </w:rPr>
        <w:t xml:space="preserve"> si elle est accompagnée de la fin probable du cycle.</w:t>
      </w:r>
    </w:p>
    <w:p w14:paraId="67115F91" w14:textId="77777777" w:rsidR="00F86FAD" w:rsidRPr="00D72345" w:rsidRDefault="00000000">
      <w:pPr>
        <w:pStyle w:val="Titre2"/>
        <w:rPr>
          <w:lang w:val="fr-FR"/>
        </w:rPr>
      </w:pPr>
      <w:r w:rsidRPr="00D72345">
        <w:rPr>
          <w:lang w:val="fr-FR"/>
        </w:rPr>
        <w:t>2.5 Ce que le marché lit le jour J</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100"/>
        <w:gridCol w:w="7260"/>
      </w:tblGrid>
      <w:tr w:rsidR="00F86FAD" w14:paraId="50E6F651" w14:textId="77777777">
        <w:trPr>
          <w:cantSplit/>
          <w:tblHeader/>
        </w:trPr>
        <w:tc>
          <w:tcPr>
            <w:tcW w:w="2100" w:type="dxa"/>
            <w:shd w:val="clear" w:color="auto" w:fill="F4F6F9"/>
            <w:tcMar>
              <w:top w:w="80" w:type="dxa"/>
              <w:left w:w="120" w:type="dxa"/>
              <w:bottom w:w="80" w:type="dxa"/>
              <w:right w:w="120" w:type="dxa"/>
            </w:tcMar>
            <w:vAlign w:val="center"/>
          </w:tcPr>
          <w:p w14:paraId="208C21EF" w14:textId="77777777" w:rsidR="00F86FAD" w:rsidRDefault="00000000">
            <w:pPr>
              <w:spacing w:after="0" w:line="283" w:lineRule="auto"/>
              <w:jc w:val="left"/>
            </w:pPr>
            <w:proofErr w:type="spellStart"/>
            <w:r>
              <w:rPr>
                <w:rFonts w:eastAsia="Calibri"/>
                <w:b/>
                <w:color w:val="0B2545"/>
                <w:sz w:val="19"/>
              </w:rPr>
              <w:t>Élément</w:t>
            </w:r>
            <w:proofErr w:type="spellEnd"/>
          </w:p>
        </w:tc>
        <w:tc>
          <w:tcPr>
            <w:tcW w:w="7260" w:type="dxa"/>
            <w:shd w:val="clear" w:color="auto" w:fill="F4F6F9"/>
            <w:tcMar>
              <w:top w:w="80" w:type="dxa"/>
              <w:left w:w="120" w:type="dxa"/>
              <w:bottom w:w="80" w:type="dxa"/>
              <w:right w:w="120" w:type="dxa"/>
            </w:tcMar>
            <w:vAlign w:val="center"/>
          </w:tcPr>
          <w:p w14:paraId="3AFE82A6" w14:textId="77777777" w:rsidR="00F86FAD" w:rsidRDefault="00000000">
            <w:pPr>
              <w:spacing w:after="0" w:line="283" w:lineRule="auto"/>
              <w:jc w:val="left"/>
            </w:pPr>
            <w:r>
              <w:rPr>
                <w:rFonts w:eastAsia="Calibri"/>
                <w:b/>
                <w:color w:val="0B2545"/>
                <w:sz w:val="19"/>
              </w:rPr>
              <w:t>Question utile</w:t>
            </w:r>
          </w:p>
        </w:tc>
      </w:tr>
      <w:tr w:rsidR="00F86FAD" w:rsidRPr="00D72345" w14:paraId="2F90FE34" w14:textId="77777777">
        <w:trPr>
          <w:cantSplit/>
        </w:trPr>
        <w:tc>
          <w:tcPr>
            <w:tcW w:w="2100" w:type="dxa"/>
            <w:tcMar>
              <w:top w:w="80" w:type="dxa"/>
              <w:left w:w="120" w:type="dxa"/>
              <w:bottom w:w="80" w:type="dxa"/>
              <w:right w:w="120" w:type="dxa"/>
            </w:tcMar>
            <w:vAlign w:val="center"/>
          </w:tcPr>
          <w:p w14:paraId="47845D5D" w14:textId="77777777" w:rsidR="00F86FAD" w:rsidRDefault="00000000">
            <w:pPr>
              <w:spacing w:after="0" w:line="283" w:lineRule="auto"/>
              <w:jc w:val="left"/>
            </w:pPr>
            <w:r>
              <w:rPr>
                <w:rFonts w:eastAsia="Calibri"/>
                <w:sz w:val="19"/>
              </w:rPr>
              <w:t>Décision</w:t>
            </w:r>
          </w:p>
        </w:tc>
        <w:tc>
          <w:tcPr>
            <w:tcW w:w="7260" w:type="dxa"/>
            <w:tcMar>
              <w:top w:w="80" w:type="dxa"/>
              <w:left w:w="120" w:type="dxa"/>
              <w:bottom w:w="80" w:type="dxa"/>
              <w:right w:w="120" w:type="dxa"/>
            </w:tcMar>
            <w:vAlign w:val="center"/>
          </w:tcPr>
          <w:p w14:paraId="3BFE8DC1" w14:textId="77777777" w:rsidR="00F86FAD" w:rsidRPr="00D72345" w:rsidRDefault="00000000">
            <w:pPr>
              <w:spacing w:after="0" w:line="283" w:lineRule="auto"/>
              <w:jc w:val="left"/>
              <w:rPr>
                <w:lang w:val="fr-FR"/>
              </w:rPr>
            </w:pPr>
            <w:r w:rsidRPr="00D72345">
              <w:rPr>
                <w:rFonts w:eastAsia="Calibri"/>
                <w:sz w:val="19"/>
                <w:lang w:val="fr-FR"/>
              </w:rPr>
              <w:t>Était-elle conforme au consensus et aux prix des marchés à terme ?</w:t>
            </w:r>
          </w:p>
        </w:tc>
      </w:tr>
      <w:tr w:rsidR="00F86FAD" w:rsidRPr="00D72345" w14:paraId="7D51B456" w14:textId="77777777">
        <w:trPr>
          <w:cantSplit/>
        </w:trPr>
        <w:tc>
          <w:tcPr>
            <w:tcW w:w="2100" w:type="dxa"/>
            <w:shd w:val="clear" w:color="auto" w:fill="FAFBFC"/>
            <w:tcMar>
              <w:top w:w="80" w:type="dxa"/>
              <w:left w:w="120" w:type="dxa"/>
              <w:bottom w:w="80" w:type="dxa"/>
              <w:right w:w="120" w:type="dxa"/>
            </w:tcMar>
            <w:vAlign w:val="center"/>
          </w:tcPr>
          <w:p w14:paraId="6874E99B" w14:textId="77777777" w:rsidR="00F86FAD" w:rsidRDefault="00000000">
            <w:pPr>
              <w:spacing w:after="0" w:line="283" w:lineRule="auto"/>
              <w:jc w:val="left"/>
            </w:pPr>
            <w:r>
              <w:rPr>
                <w:rFonts w:eastAsia="Calibri"/>
                <w:sz w:val="19"/>
              </w:rPr>
              <w:t>Communiqué</w:t>
            </w:r>
          </w:p>
        </w:tc>
        <w:tc>
          <w:tcPr>
            <w:tcW w:w="7260" w:type="dxa"/>
            <w:shd w:val="clear" w:color="auto" w:fill="FAFBFC"/>
            <w:tcMar>
              <w:top w:w="80" w:type="dxa"/>
              <w:left w:w="120" w:type="dxa"/>
              <w:bottom w:w="80" w:type="dxa"/>
              <w:right w:w="120" w:type="dxa"/>
            </w:tcMar>
            <w:vAlign w:val="center"/>
          </w:tcPr>
          <w:p w14:paraId="6832BB8B" w14:textId="77777777" w:rsidR="00F86FAD" w:rsidRPr="00D72345" w:rsidRDefault="00000000">
            <w:pPr>
              <w:spacing w:after="0" w:line="283" w:lineRule="auto"/>
              <w:jc w:val="left"/>
              <w:rPr>
                <w:lang w:val="fr-FR"/>
              </w:rPr>
            </w:pPr>
            <w:r w:rsidRPr="00D72345">
              <w:rPr>
                <w:rFonts w:eastAsia="Calibri"/>
                <w:sz w:val="19"/>
                <w:lang w:val="fr-FR"/>
              </w:rPr>
              <w:t>Quels mots ont changé sur l'inflation, l'emploi, les risques et les prochaines étapes ?</w:t>
            </w:r>
          </w:p>
        </w:tc>
      </w:tr>
      <w:tr w:rsidR="00F86FAD" w:rsidRPr="00D72345" w14:paraId="36198C67" w14:textId="77777777">
        <w:trPr>
          <w:cantSplit/>
        </w:trPr>
        <w:tc>
          <w:tcPr>
            <w:tcW w:w="2100" w:type="dxa"/>
            <w:tcMar>
              <w:top w:w="80" w:type="dxa"/>
              <w:left w:w="120" w:type="dxa"/>
              <w:bottom w:w="80" w:type="dxa"/>
              <w:right w:w="120" w:type="dxa"/>
            </w:tcMar>
            <w:vAlign w:val="center"/>
          </w:tcPr>
          <w:p w14:paraId="42803636" w14:textId="77777777" w:rsidR="00F86FAD" w:rsidRDefault="00000000">
            <w:pPr>
              <w:spacing w:after="0" w:line="283" w:lineRule="auto"/>
              <w:jc w:val="left"/>
            </w:pPr>
            <w:proofErr w:type="spellStart"/>
            <w:r>
              <w:rPr>
                <w:rFonts w:eastAsia="Calibri"/>
                <w:sz w:val="19"/>
              </w:rPr>
              <w:t>Prévisions</w:t>
            </w:r>
            <w:proofErr w:type="spellEnd"/>
          </w:p>
        </w:tc>
        <w:tc>
          <w:tcPr>
            <w:tcW w:w="7260" w:type="dxa"/>
            <w:tcMar>
              <w:top w:w="80" w:type="dxa"/>
              <w:left w:w="120" w:type="dxa"/>
              <w:bottom w:w="80" w:type="dxa"/>
              <w:right w:w="120" w:type="dxa"/>
            </w:tcMar>
            <w:vAlign w:val="center"/>
          </w:tcPr>
          <w:p w14:paraId="4BAC8FE8" w14:textId="77777777" w:rsidR="00F86FAD" w:rsidRPr="00D72345" w:rsidRDefault="00000000">
            <w:pPr>
              <w:spacing w:after="0" w:line="283" w:lineRule="auto"/>
              <w:jc w:val="left"/>
              <w:rPr>
                <w:lang w:val="fr-FR"/>
              </w:rPr>
            </w:pPr>
            <w:r w:rsidRPr="00D72345">
              <w:rPr>
                <w:rFonts w:eastAsia="Calibri"/>
                <w:sz w:val="19"/>
                <w:lang w:val="fr-FR"/>
              </w:rPr>
              <w:t>Croissance, inflation, chômage et taux projetés ont-ils été révisés ?</w:t>
            </w:r>
          </w:p>
        </w:tc>
      </w:tr>
      <w:tr w:rsidR="00F86FAD" w:rsidRPr="00D72345" w14:paraId="1ED28C6F" w14:textId="77777777">
        <w:trPr>
          <w:cantSplit/>
        </w:trPr>
        <w:tc>
          <w:tcPr>
            <w:tcW w:w="2100" w:type="dxa"/>
            <w:shd w:val="clear" w:color="auto" w:fill="FAFBFC"/>
            <w:tcMar>
              <w:top w:w="80" w:type="dxa"/>
              <w:left w:w="120" w:type="dxa"/>
              <w:bottom w:w="80" w:type="dxa"/>
              <w:right w:w="120" w:type="dxa"/>
            </w:tcMar>
            <w:vAlign w:val="center"/>
          </w:tcPr>
          <w:p w14:paraId="0D2C0C16" w14:textId="77777777" w:rsidR="00F86FAD" w:rsidRDefault="00000000">
            <w:pPr>
              <w:spacing w:after="0" w:line="283" w:lineRule="auto"/>
              <w:jc w:val="left"/>
            </w:pPr>
            <w:r>
              <w:rPr>
                <w:rFonts w:eastAsia="Calibri"/>
                <w:sz w:val="19"/>
              </w:rPr>
              <w:t>Vote</w:t>
            </w:r>
          </w:p>
        </w:tc>
        <w:tc>
          <w:tcPr>
            <w:tcW w:w="7260" w:type="dxa"/>
            <w:shd w:val="clear" w:color="auto" w:fill="FAFBFC"/>
            <w:tcMar>
              <w:top w:w="80" w:type="dxa"/>
              <w:left w:w="120" w:type="dxa"/>
              <w:bottom w:w="80" w:type="dxa"/>
              <w:right w:w="120" w:type="dxa"/>
            </w:tcMar>
            <w:vAlign w:val="center"/>
          </w:tcPr>
          <w:p w14:paraId="6DD85219" w14:textId="77777777" w:rsidR="00F86FAD" w:rsidRPr="00D72345" w:rsidRDefault="00000000">
            <w:pPr>
              <w:spacing w:after="0" w:line="283" w:lineRule="auto"/>
              <w:jc w:val="left"/>
              <w:rPr>
                <w:lang w:val="fr-FR"/>
              </w:rPr>
            </w:pPr>
            <w:r w:rsidRPr="00D72345">
              <w:rPr>
                <w:rFonts w:eastAsia="Calibri"/>
                <w:sz w:val="19"/>
                <w:lang w:val="fr-FR"/>
              </w:rPr>
              <w:t>Le comité est-il uni ou plusieurs membres préfèrent-ils une autre décision ?</w:t>
            </w:r>
          </w:p>
        </w:tc>
      </w:tr>
      <w:tr w:rsidR="00F86FAD" w:rsidRPr="00D72345" w14:paraId="7781846E" w14:textId="77777777">
        <w:trPr>
          <w:cantSplit/>
        </w:trPr>
        <w:tc>
          <w:tcPr>
            <w:tcW w:w="2100" w:type="dxa"/>
            <w:tcMar>
              <w:top w:w="80" w:type="dxa"/>
              <w:left w:w="120" w:type="dxa"/>
              <w:bottom w:w="80" w:type="dxa"/>
              <w:right w:w="120" w:type="dxa"/>
            </w:tcMar>
            <w:vAlign w:val="center"/>
          </w:tcPr>
          <w:p w14:paraId="0E6241D7" w14:textId="77777777" w:rsidR="00F86FAD" w:rsidRDefault="00000000">
            <w:pPr>
              <w:spacing w:after="0" w:line="283" w:lineRule="auto"/>
              <w:jc w:val="left"/>
            </w:pPr>
            <w:proofErr w:type="spellStart"/>
            <w:r>
              <w:rPr>
                <w:rFonts w:eastAsia="Calibri"/>
                <w:sz w:val="19"/>
              </w:rPr>
              <w:t>Conférence</w:t>
            </w:r>
            <w:proofErr w:type="spellEnd"/>
          </w:p>
        </w:tc>
        <w:tc>
          <w:tcPr>
            <w:tcW w:w="7260" w:type="dxa"/>
            <w:tcMar>
              <w:top w:w="80" w:type="dxa"/>
              <w:left w:w="120" w:type="dxa"/>
              <w:bottom w:w="80" w:type="dxa"/>
              <w:right w:w="120" w:type="dxa"/>
            </w:tcMar>
            <w:vAlign w:val="center"/>
          </w:tcPr>
          <w:p w14:paraId="6A847B77" w14:textId="77777777" w:rsidR="00F86FAD" w:rsidRPr="00D72345" w:rsidRDefault="00000000">
            <w:pPr>
              <w:spacing w:after="0" w:line="283" w:lineRule="auto"/>
              <w:jc w:val="left"/>
              <w:rPr>
                <w:lang w:val="fr-FR"/>
              </w:rPr>
            </w:pPr>
            <w:r w:rsidRPr="00D72345">
              <w:rPr>
                <w:rFonts w:eastAsia="Calibri"/>
                <w:sz w:val="19"/>
                <w:lang w:val="fr-FR"/>
              </w:rPr>
              <w:t>Le dirigeant confirme-t-il le communiqué ou ajoute-t-il une nuance ?</w:t>
            </w:r>
          </w:p>
        </w:tc>
      </w:tr>
      <w:tr w:rsidR="00F86FAD" w:rsidRPr="00D72345" w14:paraId="36AE4983" w14:textId="77777777">
        <w:trPr>
          <w:cantSplit/>
        </w:trPr>
        <w:tc>
          <w:tcPr>
            <w:tcW w:w="2100" w:type="dxa"/>
            <w:shd w:val="clear" w:color="auto" w:fill="FAFBFC"/>
            <w:tcMar>
              <w:top w:w="80" w:type="dxa"/>
              <w:left w:w="120" w:type="dxa"/>
              <w:bottom w:w="80" w:type="dxa"/>
              <w:right w:w="120" w:type="dxa"/>
            </w:tcMar>
            <w:vAlign w:val="center"/>
          </w:tcPr>
          <w:p w14:paraId="3EC267FF" w14:textId="77777777" w:rsidR="00F86FAD" w:rsidRDefault="00000000">
            <w:pPr>
              <w:spacing w:after="0" w:line="283" w:lineRule="auto"/>
              <w:jc w:val="left"/>
            </w:pPr>
            <w:proofErr w:type="spellStart"/>
            <w:r>
              <w:rPr>
                <w:rFonts w:eastAsia="Calibri"/>
                <w:sz w:val="19"/>
              </w:rPr>
              <w:t>Fonction</w:t>
            </w:r>
            <w:proofErr w:type="spellEnd"/>
            <w:r>
              <w:rPr>
                <w:rFonts w:eastAsia="Calibri"/>
                <w:sz w:val="19"/>
              </w:rPr>
              <w:t xml:space="preserve"> de </w:t>
            </w:r>
            <w:proofErr w:type="spellStart"/>
            <w:r>
              <w:rPr>
                <w:rFonts w:eastAsia="Calibri"/>
                <w:sz w:val="19"/>
              </w:rPr>
              <w:t>réaction</w:t>
            </w:r>
            <w:proofErr w:type="spellEnd"/>
          </w:p>
        </w:tc>
        <w:tc>
          <w:tcPr>
            <w:tcW w:w="7260" w:type="dxa"/>
            <w:shd w:val="clear" w:color="auto" w:fill="FAFBFC"/>
            <w:tcMar>
              <w:top w:w="80" w:type="dxa"/>
              <w:left w:w="120" w:type="dxa"/>
              <w:bottom w:w="80" w:type="dxa"/>
              <w:right w:w="120" w:type="dxa"/>
            </w:tcMar>
            <w:vAlign w:val="center"/>
          </w:tcPr>
          <w:p w14:paraId="431C7B2D" w14:textId="77777777" w:rsidR="00F86FAD" w:rsidRPr="00D72345" w:rsidRDefault="00000000">
            <w:pPr>
              <w:spacing w:after="0" w:line="283" w:lineRule="auto"/>
              <w:jc w:val="left"/>
              <w:rPr>
                <w:lang w:val="fr-FR"/>
              </w:rPr>
            </w:pPr>
            <w:r w:rsidRPr="00D72345">
              <w:rPr>
                <w:rFonts w:eastAsia="Calibri"/>
                <w:sz w:val="19"/>
                <w:lang w:val="fr-FR"/>
              </w:rPr>
              <w:t>Quelles données pourraient faire changer la banque de trajectoire ?</w:t>
            </w:r>
          </w:p>
        </w:tc>
      </w:tr>
    </w:tbl>
    <w:p w14:paraId="5746EA19" w14:textId="77777777" w:rsidR="00F86FAD" w:rsidRPr="00D72345" w:rsidRDefault="00F86FAD">
      <w:pPr>
        <w:spacing w:after="100"/>
        <w:rPr>
          <w:lang w:val="fr-FR"/>
        </w:rPr>
      </w:pPr>
    </w:p>
    <w:p w14:paraId="568FB42C" w14:textId="77777777" w:rsidR="00F86FAD" w:rsidRPr="00D72345" w:rsidRDefault="00000000">
      <w:pPr>
        <w:keepLines/>
        <w:pBdr>
          <w:left w:val="single" w:sz="18" w:space="8" w:color="2E74B5"/>
        </w:pBdr>
        <w:shd w:val="clear" w:color="auto" w:fill="EEF4FA"/>
        <w:spacing w:before="100" w:after="200" w:line="288" w:lineRule="auto"/>
        <w:ind w:left="173" w:right="115"/>
        <w:rPr>
          <w:lang w:val="fr-FR"/>
        </w:rPr>
      </w:pPr>
      <w:r w:rsidRPr="00D72345">
        <w:rPr>
          <w:rFonts w:eastAsia="Calibri"/>
          <w:b/>
          <w:color w:val="2E74B5"/>
          <w:sz w:val="20"/>
          <w:lang w:val="fr-FR"/>
        </w:rPr>
        <w:t xml:space="preserve">LA VRAIE </w:t>
      </w:r>
      <w:proofErr w:type="gramStart"/>
      <w:r w:rsidRPr="00D72345">
        <w:rPr>
          <w:rFonts w:eastAsia="Calibri"/>
          <w:b/>
          <w:color w:val="2E74B5"/>
          <w:sz w:val="20"/>
          <w:lang w:val="fr-FR"/>
        </w:rPr>
        <w:t xml:space="preserve">SURPRISE  </w:t>
      </w:r>
      <w:r w:rsidRPr="00D72345">
        <w:rPr>
          <w:rFonts w:eastAsia="Calibri"/>
          <w:sz w:val="21"/>
          <w:lang w:val="fr-FR"/>
        </w:rPr>
        <w:t>La</w:t>
      </w:r>
      <w:proofErr w:type="gramEnd"/>
      <w:r w:rsidRPr="00D72345">
        <w:rPr>
          <w:rFonts w:eastAsia="Calibri"/>
          <w:sz w:val="21"/>
          <w:lang w:val="fr-FR"/>
        </w:rPr>
        <w:t xml:space="preserve"> surprise monétaire est l'écart entre ce qui est annoncé et ce qui était déjà intégré dans les prix. Une décision spectaculaire mais totalement attendue peut produire peu de mouvement.</w:t>
      </w:r>
    </w:p>
    <w:p w14:paraId="61FFD5D2" w14:textId="77777777" w:rsidR="00F86FAD" w:rsidRPr="00D72345" w:rsidRDefault="00000000">
      <w:pPr>
        <w:rPr>
          <w:lang w:val="fr-FR"/>
        </w:rPr>
      </w:pPr>
      <w:r w:rsidRPr="00D72345">
        <w:rPr>
          <w:lang w:val="fr-FR"/>
        </w:rPr>
        <w:br w:type="page"/>
      </w:r>
    </w:p>
    <w:p w14:paraId="4FFD368B" w14:textId="77777777" w:rsidR="00F86FAD" w:rsidRPr="00D72345" w:rsidRDefault="00000000">
      <w:pPr>
        <w:pStyle w:val="Titre1"/>
        <w:keepNext/>
        <w:spacing w:after="140"/>
        <w:rPr>
          <w:lang w:val="fr-FR"/>
        </w:rPr>
      </w:pPr>
      <w:r>
        <w:rPr>
          <w:rFonts w:eastAsia="Calibri"/>
          <w:b/>
          <w:color w:val="0B2545"/>
          <w:sz w:val="48"/>
          <w:lang w:val="fr-FR"/>
        </w:rPr>
        <w:t>3. Les outils de politique monétaire</w:t>
      </w:r>
    </w:p>
    <w:p w14:paraId="402240B9" w14:textId="77777777" w:rsidR="00F86FAD" w:rsidRPr="00D72345" w:rsidRDefault="00000000">
      <w:pPr>
        <w:keepNext/>
        <w:spacing w:after="320"/>
        <w:rPr>
          <w:lang w:val="fr-FR"/>
        </w:rPr>
      </w:pPr>
      <w:r>
        <w:rPr>
          <w:rFonts w:eastAsia="Calibri"/>
          <w:i/>
          <w:color w:val="1F4D78"/>
          <w:sz w:val="26"/>
          <w:lang w:val="fr-FR"/>
        </w:rPr>
        <w:t>Du taux directeur au bilan : l'essentiel d'abord, les outils exceptionnels ensuite.</w:t>
      </w:r>
    </w:p>
    <w:p>
      <w:pPr>
        <w:keepLines/>
        <w:pBdr>
          <w:left w:val="single" w:sz="18" w:space="8" w:color="2E74B5"/>
        </w:pBdr>
        <w:shd w:val="clear" w:color="auto" w:fill="EEF4FA"/>
        <w:spacing w:before="100" w:after="200" w:line="288" w:lineRule="auto"/>
        <w:ind w:left="173" w:right="115"/>
        <w:rPr>
          <w:lang w:val="fr-FR"/>
        </w:rPr>
      </w:pPr>
      <w:r>
        <w:rPr>
          <w:rFonts w:eastAsia="Calibri"/>
          <w:b/>
          <w:color w:val="2E74B5"/>
          <w:sz w:val="20"/>
          <w:lang w:val="fr-FR"/>
        </w:rPr>
        <w:t xml:space="preserve">PARCOURS DÉBUTANT  </w:t>
      </w:r>
      <w:r>
        <w:rPr>
          <w:rFonts w:eastAsia="Calibri"/>
          <w:sz w:val="21"/>
          <w:lang w:val="fr-FR"/>
        </w:rPr>
        <w:t>Pour une première lecture, maîtrise les sections 3.1 à 3.3 et 3.6. Les sections consacrées au QE, au QT, au YCC, au prêteur en dernier ressort et aux interventions de change sont des approfondissements : elles peuvent être relues dans un second temps.</w:t>
      </w:r>
    </w:p>
    <w:p w14:paraId="7D19C4F5" w14:textId="77777777" w:rsidR="00F86FAD" w:rsidRPr="00D72345" w:rsidRDefault="00000000">
      <w:pPr>
        <w:pStyle w:val="Titre2"/>
        <w:rPr>
          <w:lang w:val="fr-FR"/>
        </w:rPr>
      </w:pPr>
      <w:r w:rsidRPr="00D72345">
        <w:rPr>
          <w:lang w:val="fr-FR"/>
        </w:rPr>
        <w:t>3.1 Les taux directeurs</w:t>
      </w:r>
    </w:p>
    <w:p w14:paraId="60A5DD58" w14:textId="77777777" w:rsidR="00F86FAD" w:rsidRPr="00D72345" w:rsidRDefault="00000000">
      <w:pPr>
        <w:rPr>
          <w:lang w:val="fr-FR"/>
        </w:rPr>
      </w:pPr>
      <w:r w:rsidRPr="00D72345">
        <w:rPr>
          <w:rFonts w:eastAsia="Calibri"/>
          <w:lang w:val="fr-FR"/>
        </w:rPr>
        <w:t>Le taux directeur est le principal repère du coût de la monnaie à très court terme. Selon le système, la banque centrale fixe une cible ou plusieurs taux administrés : rémunération des réserves, facilité de dépôt, taux de prêt ou corridor autour du marché monétaire.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800"/>
        <w:gridCol w:w="3500"/>
        <w:gridCol w:w="4060"/>
      </w:tblGrid>
      <w:tr w:rsidR="00F86FAD" w14:paraId="7EE8A51B" w14:textId="77777777">
        <w:trPr>
          <w:cantSplit/>
          <w:tblHeader/>
        </w:trPr>
        <w:tc>
          <w:tcPr>
            <w:tcW w:w="1800" w:type="dxa"/>
            <w:shd w:val="clear" w:color="auto" w:fill="F4F6F9"/>
            <w:tcMar>
              <w:top w:w="80" w:type="dxa"/>
              <w:left w:w="120" w:type="dxa"/>
              <w:bottom w:w="80" w:type="dxa"/>
              <w:right w:w="120" w:type="dxa"/>
            </w:tcMar>
            <w:vAlign w:val="center"/>
          </w:tcPr>
          <w:p w14:paraId="56295A00" w14:textId="77777777" w:rsidR="00F86FAD" w:rsidRDefault="00000000">
            <w:pPr>
              <w:spacing w:after="0" w:line="283" w:lineRule="auto"/>
              <w:jc w:val="left"/>
            </w:pPr>
            <w:r>
              <w:rPr>
                <w:rFonts w:eastAsia="Calibri"/>
                <w:b/>
                <w:color w:val="0B2545"/>
                <w:sz w:val="19"/>
              </w:rPr>
              <w:t>Action</w:t>
            </w:r>
          </w:p>
        </w:tc>
        <w:tc>
          <w:tcPr>
            <w:tcW w:w="3500" w:type="dxa"/>
            <w:shd w:val="clear" w:color="auto" w:fill="F4F6F9"/>
            <w:tcMar>
              <w:top w:w="80" w:type="dxa"/>
              <w:left w:w="120" w:type="dxa"/>
              <w:bottom w:w="80" w:type="dxa"/>
              <w:right w:w="120" w:type="dxa"/>
            </w:tcMar>
            <w:vAlign w:val="center"/>
          </w:tcPr>
          <w:p w14:paraId="0B6E9476" w14:textId="77777777" w:rsidR="00F86FAD" w:rsidRDefault="00000000">
            <w:pPr>
              <w:spacing w:after="0" w:line="283" w:lineRule="auto"/>
              <w:jc w:val="left"/>
            </w:pPr>
            <w:r>
              <w:rPr>
                <w:rFonts w:eastAsia="Calibri"/>
                <w:b/>
                <w:color w:val="0B2545"/>
                <w:sz w:val="19"/>
              </w:rPr>
              <w:t>Effet recherché</w:t>
            </w:r>
          </w:p>
        </w:tc>
        <w:tc>
          <w:tcPr>
            <w:tcW w:w="4060" w:type="dxa"/>
            <w:shd w:val="clear" w:color="auto" w:fill="F4F6F9"/>
            <w:tcMar>
              <w:top w:w="80" w:type="dxa"/>
              <w:left w:w="120" w:type="dxa"/>
              <w:bottom w:w="80" w:type="dxa"/>
              <w:right w:w="120" w:type="dxa"/>
            </w:tcMar>
            <w:vAlign w:val="center"/>
          </w:tcPr>
          <w:p w14:paraId="2C4219E8" w14:textId="77777777" w:rsidR="00F86FAD" w:rsidRDefault="00000000">
            <w:pPr>
              <w:spacing w:after="0" w:line="283" w:lineRule="auto"/>
              <w:jc w:val="left"/>
            </w:pPr>
            <w:r>
              <w:rPr>
                <w:rFonts w:eastAsia="Calibri"/>
                <w:b/>
                <w:color w:val="0B2545"/>
                <w:sz w:val="19"/>
              </w:rPr>
              <w:t>Transmission habituelle</w:t>
            </w:r>
          </w:p>
        </w:tc>
      </w:tr>
      <w:tr w:rsidR="00F86FAD" w:rsidRPr="00D72345" w14:paraId="4E891C0B" w14:textId="77777777">
        <w:trPr>
          <w:cantSplit/>
        </w:trPr>
        <w:tc>
          <w:tcPr>
            <w:tcW w:w="1800" w:type="dxa"/>
            <w:tcMar>
              <w:top w:w="80" w:type="dxa"/>
              <w:left w:w="120" w:type="dxa"/>
              <w:bottom w:w="80" w:type="dxa"/>
              <w:right w:w="120" w:type="dxa"/>
            </w:tcMar>
            <w:vAlign w:val="center"/>
          </w:tcPr>
          <w:p w14:paraId="3E12F61E" w14:textId="77777777" w:rsidR="00F86FAD" w:rsidRDefault="00000000">
            <w:pPr>
              <w:spacing w:after="0" w:line="283" w:lineRule="auto"/>
              <w:jc w:val="left"/>
            </w:pPr>
            <w:r>
              <w:rPr>
                <w:rFonts w:eastAsia="Calibri"/>
                <w:sz w:val="19"/>
              </w:rPr>
              <w:t>Hausse des taux</w:t>
            </w:r>
          </w:p>
        </w:tc>
        <w:tc>
          <w:tcPr>
            <w:tcW w:w="3500" w:type="dxa"/>
            <w:tcMar>
              <w:top w:w="80" w:type="dxa"/>
              <w:left w:w="120" w:type="dxa"/>
              <w:bottom w:w="80" w:type="dxa"/>
              <w:right w:w="120" w:type="dxa"/>
            </w:tcMar>
            <w:vAlign w:val="center"/>
          </w:tcPr>
          <w:p w14:paraId="7878B9BB" w14:textId="77777777" w:rsidR="00F86FAD" w:rsidRPr="00D72345" w:rsidRDefault="00000000">
            <w:pPr>
              <w:spacing w:after="0" w:line="283" w:lineRule="auto"/>
              <w:jc w:val="left"/>
              <w:rPr>
                <w:lang w:val="fr-FR"/>
              </w:rPr>
            </w:pPr>
            <w:r w:rsidRPr="00D72345">
              <w:rPr>
                <w:rFonts w:eastAsia="Calibri"/>
                <w:sz w:val="19"/>
                <w:lang w:val="fr-FR"/>
              </w:rPr>
              <w:t>Ralentir la demande et réduire les pressions inflationnistes</w:t>
            </w:r>
          </w:p>
        </w:tc>
        <w:tc>
          <w:tcPr>
            <w:tcW w:w="4060" w:type="dxa"/>
            <w:tcMar>
              <w:top w:w="80" w:type="dxa"/>
              <w:left w:w="120" w:type="dxa"/>
              <w:bottom w:w="80" w:type="dxa"/>
              <w:right w:w="120" w:type="dxa"/>
            </w:tcMar>
            <w:vAlign w:val="center"/>
          </w:tcPr>
          <w:p w14:paraId="4A7A3D29" w14:textId="77777777" w:rsidR="00F86FAD" w:rsidRPr="00D72345" w:rsidRDefault="00000000">
            <w:pPr>
              <w:spacing w:after="0" w:line="283" w:lineRule="auto"/>
              <w:jc w:val="left"/>
              <w:rPr>
                <w:lang w:val="fr-FR"/>
              </w:rPr>
            </w:pPr>
            <w:r w:rsidRPr="00D72345">
              <w:rPr>
                <w:rFonts w:eastAsia="Calibri"/>
                <w:sz w:val="19"/>
                <w:lang w:val="fr-FR"/>
              </w:rPr>
              <w:t>Crédit plus cher, épargne plus attractive, valorisations sous pression, monnaie souvent soutenue</w:t>
            </w:r>
          </w:p>
        </w:tc>
      </w:tr>
      <w:tr w:rsidR="00F86FAD" w:rsidRPr="00D72345" w14:paraId="58CA057D" w14:textId="77777777">
        <w:trPr>
          <w:cantSplit/>
        </w:trPr>
        <w:tc>
          <w:tcPr>
            <w:tcW w:w="1800" w:type="dxa"/>
            <w:shd w:val="clear" w:color="auto" w:fill="FAFBFC"/>
            <w:tcMar>
              <w:top w:w="80" w:type="dxa"/>
              <w:left w:w="120" w:type="dxa"/>
              <w:bottom w:w="80" w:type="dxa"/>
              <w:right w:w="120" w:type="dxa"/>
            </w:tcMar>
            <w:vAlign w:val="center"/>
          </w:tcPr>
          <w:p w14:paraId="7D05BD24" w14:textId="77777777" w:rsidR="00F86FAD" w:rsidRDefault="00000000">
            <w:pPr>
              <w:spacing w:after="0" w:line="283" w:lineRule="auto"/>
              <w:jc w:val="left"/>
            </w:pPr>
            <w:proofErr w:type="spellStart"/>
            <w:r>
              <w:rPr>
                <w:rFonts w:eastAsia="Calibri"/>
                <w:sz w:val="19"/>
              </w:rPr>
              <w:t>Baisse</w:t>
            </w:r>
            <w:proofErr w:type="spellEnd"/>
            <w:r>
              <w:rPr>
                <w:rFonts w:eastAsia="Calibri"/>
                <w:sz w:val="19"/>
              </w:rPr>
              <w:t xml:space="preserve"> des </w:t>
            </w:r>
            <w:proofErr w:type="spellStart"/>
            <w:r>
              <w:rPr>
                <w:rFonts w:eastAsia="Calibri"/>
                <w:sz w:val="19"/>
              </w:rPr>
              <w:t>taux</w:t>
            </w:r>
            <w:proofErr w:type="spellEnd"/>
          </w:p>
        </w:tc>
        <w:tc>
          <w:tcPr>
            <w:tcW w:w="3500" w:type="dxa"/>
            <w:shd w:val="clear" w:color="auto" w:fill="FAFBFC"/>
            <w:tcMar>
              <w:top w:w="80" w:type="dxa"/>
              <w:left w:w="120" w:type="dxa"/>
              <w:bottom w:w="80" w:type="dxa"/>
              <w:right w:w="120" w:type="dxa"/>
            </w:tcMar>
            <w:vAlign w:val="center"/>
          </w:tcPr>
          <w:p w14:paraId="6036048A" w14:textId="77777777" w:rsidR="00F86FAD" w:rsidRPr="00D72345" w:rsidRDefault="00000000">
            <w:pPr>
              <w:spacing w:after="0" w:line="283" w:lineRule="auto"/>
              <w:jc w:val="left"/>
              <w:rPr>
                <w:lang w:val="fr-FR"/>
              </w:rPr>
            </w:pPr>
            <w:r w:rsidRPr="00D72345">
              <w:rPr>
                <w:rFonts w:eastAsia="Calibri"/>
                <w:sz w:val="19"/>
                <w:lang w:val="fr-FR"/>
              </w:rPr>
              <w:t>Soutenir la demande et éviter une inflation trop faible</w:t>
            </w:r>
          </w:p>
        </w:tc>
        <w:tc>
          <w:tcPr>
            <w:tcW w:w="4060" w:type="dxa"/>
            <w:shd w:val="clear" w:color="auto" w:fill="FAFBFC"/>
            <w:tcMar>
              <w:top w:w="80" w:type="dxa"/>
              <w:left w:w="120" w:type="dxa"/>
              <w:bottom w:w="80" w:type="dxa"/>
              <w:right w:w="120" w:type="dxa"/>
            </w:tcMar>
            <w:vAlign w:val="center"/>
          </w:tcPr>
          <w:p w14:paraId="135902B8" w14:textId="77777777" w:rsidR="00F86FAD" w:rsidRPr="00D72345" w:rsidRDefault="00000000">
            <w:pPr>
              <w:spacing w:after="0" w:line="283" w:lineRule="auto"/>
              <w:jc w:val="left"/>
              <w:rPr>
                <w:lang w:val="fr-FR"/>
              </w:rPr>
            </w:pPr>
            <w:r w:rsidRPr="00D72345">
              <w:rPr>
                <w:rFonts w:eastAsia="Calibri"/>
                <w:sz w:val="19"/>
                <w:lang w:val="fr-FR"/>
              </w:rPr>
              <w:t>Crédit moins cher, épargne moins rémunérée, actifs risqués souvent soutenus, monnaie parfois affaiblie</w:t>
            </w:r>
          </w:p>
        </w:tc>
      </w:tr>
      <w:tr w:rsidR="00F86FAD" w:rsidRPr="00D72345" w14:paraId="0FF99C1B" w14:textId="77777777">
        <w:trPr>
          <w:cantSplit/>
        </w:trPr>
        <w:tc>
          <w:tcPr>
            <w:tcW w:w="1800" w:type="dxa"/>
            <w:tcMar>
              <w:top w:w="80" w:type="dxa"/>
              <w:left w:w="120" w:type="dxa"/>
              <w:bottom w:w="80" w:type="dxa"/>
              <w:right w:w="120" w:type="dxa"/>
            </w:tcMar>
            <w:vAlign w:val="center"/>
          </w:tcPr>
          <w:p w14:paraId="59417289" w14:textId="77777777" w:rsidR="00F86FAD" w:rsidRDefault="00000000">
            <w:pPr>
              <w:spacing w:after="0" w:line="283" w:lineRule="auto"/>
              <w:jc w:val="left"/>
            </w:pPr>
            <w:proofErr w:type="spellStart"/>
            <w:r>
              <w:rPr>
                <w:rFonts w:eastAsia="Calibri"/>
                <w:sz w:val="19"/>
              </w:rPr>
              <w:t>Maintien</w:t>
            </w:r>
            <w:proofErr w:type="spellEnd"/>
          </w:p>
        </w:tc>
        <w:tc>
          <w:tcPr>
            <w:tcW w:w="3500" w:type="dxa"/>
            <w:tcMar>
              <w:top w:w="80" w:type="dxa"/>
              <w:left w:w="120" w:type="dxa"/>
              <w:bottom w:w="80" w:type="dxa"/>
              <w:right w:w="120" w:type="dxa"/>
            </w:tcMar>
            <w:vAlign w:val="center"/>
          </w:tcPr>
          <w:p w14:paraId="3ED3E1B6" w14:textId="77777777" w:rsidR="00F86FAD" w:rsidRPr="00D72345" w:rsidRDefault="00000000">
            <w:pPr>
              <w:spacing w:after="0" w:line="283" w:lineRule="auto"/>
              <w:jc w:val="left"/>
              <w:rPr>
                <w:lang w:val="fr-FR"/>
              </w:rPr>
            </w:pPr>
            <w:r w:rsidRPr="00D72345">
              <w:rPr>
                <w:rFonts w:eastAsia="Calibri"/>
                <w:sz w:val="19"/>
                <w:lang w:val="fr-FR"/>
              </w:rPr>
              <w:t>Observer les effets déjà engagés</w:t>
            </w:r>
          </w:p>
        </w:tc>
        <w:tc>
          <w:tcPr>
            <w:tcW w:w="4060" w:type="dxa"/>
            <w:tcMar>
              <w:top w:w="80" w:type="dxa"/>
              <w:left w:w="120" w:type="dxa"/>
              <w:bottom w:w="80" w:type="dxa"/>
              <w:right w:w="120" w:type="dxa"/>
            </w:tcMar>
            <w:vAlign w:val="center"/>
          </w:tcPr>
          <w:p w14:paraId="6186EB31" w14:textId="77777777" w:rsidR="00F86FAD" w:rsidRPr="00D72345" w:rsidRDefault="00000000">
            <w:pPr>
              <w:spacing w:after="0" w:line="283" w:lineRule="auto"/>
              <w:jc w:val="left"/>
              <w:rPr>
                <w:lang w:val="fr-FR"/>
              </w:rPr>
            </w:pPr>
            <w:r w:rsidRPr="00D72345">
              <w:rPr>
                <w:rFonts w:eastAsia="Calibri"/>
                <w:sz w:val="19"/>
                <w:lang w:val="fr-FR"/>
              </w:rPr>
              <w:t>Le message sur la durée devient souvent plus important que l'absence de changement</w:t>
            </w:r>
          </w:p>
        </w:tc>
      </w:tr>
    </w:tbl>
    <w:p w14:paraId="75E68176" w14:textId="77777777" w:rsidR="00F86FAD" w:rsidRPr="00D72345" w:rsidRDefault="00F86FAD">
      <w:pPr>
        <w:spacing w:after="100"/>
        <w:rPr>
          <w:lang w:val="fr-FR"/>
        </w:rPr>
      </w:pPr>
    </w:p>
    <w:p w14:paraId="27017AEA" w14:textId="77777777" w:rsidR="00F86FAD" w:rsidRPr="00D72345" w:rsidRDefault="00000000">
      <w:pPr>
        <w:pStyle w:val="Titre2"/>
        <w:rPr>
          <w:lang w:val="fr-FR"/>
        </w:rPr>
      </w:pPr>
      <w:r w:rsidRPr="00D72345">
        <w:rPr>
          <w:lang w:val="fr-FR"/>
        </w:rPr>
        <w:t>3.2 Comment le taux de marché est maintenu</w:t>
      </w:r>
    </w:p>
    <w:p w14:paraId="7ED51DF9" w14:textId="77777777" w:rsidR="00F86FAD" w:rsidRPr="00D72345" w:rsidRDefault="00000000">
      <w:pPr>
        <w:rPr>
          <w:lang w:val="fr-FR"/>
        </w:rPr>
      </w:pPr>
      <w:r w:rsidRPr="00D72345">
        <w:rPr>
          <w:rFonts w:eastAsia="Calibri"/>
          <w:lang w:val="fr-FR"/>
        </w:rPr>
        <w:t>Les banques règlent leurs paiements avec des réserves détenues à la banque centrale. En rémunérant ces réserves, en prêtant à certaines conditions et en réalisant des opérations de marché, la banque centrale encadre le taux auquel la liquidité s'échange au jour le jour. Elle ne décrète pas directement chaque taux de crédit immobilier, mais elle influence le point de départ de toute la courbe.</w:t>
      </w:r>
    </w:p>
    <w:p w14:paraId="50EBD7C9" w14:textId="77777777" w:rsidR="00F86FAD" w:rsidRPr="00D72345" w:rsidRDefault="00000000">
      <w:pPr>
        <w:keepLines/>
        <w:pBdr>
          <w:left w:val="single" w:sz="18" w:space="8" w:color="207A4B"/>
        </w:pBdr>
        <w:shd w:val="clear" w:color="auto" w:fill="EAF6EF"/>
        <w:spacing w:before="100" w:after="200" w:line="288" w:lineRule="auto"/>
        <w:ind w:left="173" w:right="115"/>
        <w:rPr>
          <w:lang w:val="fr-FR"/>
        </w:rPr>
      </w:pPr>
      <w:r w:rsidRPr="00D72345">
        <w:rPr>
          <w:rFonts w:eastAsia="Calibri"/>
          <w:b/>
          <w:color w:val="207A4B"/>
          <w:sz w:val="20"/>
          <w:lang w:val="fr-FR"/>
        </w:rPr>
        <w:t xml:space="preserve">EXEMPLE </w:t>
      </w:r>
      <w:proofErr w:type="gramStart"/>
      <w:r w:rsidRPr="00D72345">
        <w:rPr>
          <w:rFonts w:eastAsia="Calibri"/>
          <w:b/>
          <w:color w:val="207A4B"/>
          <w:sz w:val="20"/>
          <w:lang w:val="fr-FR"/>
        </w:rPr>
        <w:t xml:space="preserve">INTUITIF  </w:t>
      </w:r>
      <w:r w:rsidRPr="00D72345">
        <w:rPr>
          <w:rFonts w:eastAsia="Calibri"/>
          <w:sz w:val="21"/>
          <w:lang w:val="fr-FR"/>
        </w:rPr>
        <w:t>Si</w:t>
      </w:r>
      <w:proofErr w:type="gramEnd"/>
      <w:r w:rsidRPr="00D72345">
        <w:rPr>
          <w:rFonts w:eastAsia="Calibri"/>
          <w:sz w:val="21"/>
          <w:lang w:val="fr-FR"/>
        </w:rPr>
        <w:t xml:space="preserve"> une banque peut placer sans risque ses réserves à un taux plus élevé auprès de la banque centrale, elle acceptera moins facilement de prêter à un taux inférieur ailleurs. Les taux courts du marché se réajustent.</w:t>
      </w:r>
    </w:p>
    <w:p w14:paraId="02C21D74"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14">
        <w:r w:rsidRPr="00D72345">
          <w:rPr>
            <w:color w:val="2E74B5"/>
            <w:u w:val="single"/>
            <w:lang w:val="fr-FR"/>
          </w:rPr>
          <w:t xml:space="preserve">Réserve fédérale — </w:t>
        </w:r>
        <w:proofErr w:type="spellStart"/>
        <w:r w:rsidRPr="00D72345">
          <w:rPr>
            <w:color w:val="2E74B5"/>
            <w:u w:val="single"/>
            <w:lang w:val="fr-FR"/>
          </w:rPr>
          <w:t>Implementation</w:t>
        </w:r>
        <w:proofErr w:type="spellEnd"/>
        <w:r w:rsidRPr="00D72345">
          <w:rPr>
            <w:color w:val="2E74B5"/>
            <w:u w:val="single"/>
            <w:lang w:val="fr-FR"/>
          </w:rPr>
          <w:t xml:space="preserve"> and Transmission of </w:t>
        </w:r>
        <w:proofErr w:type="spellStart"/>
        <w:r w:rsidRPr="00D72345">
          <w:rPr>
            <w:color w:val="2E74B5"/>
            <w:u w:val="single"/>
            <w:lang w:val="fr-FR"/>
          </w:rPr>
          <w:t>Monetary</w:t>
        </w:r>
        <w:proofErr w:type="spellEnd"/>
        <w:r w:rsidRPr="00D72345">
          <w:rPr>
            <w:color w:val="2E74B5"/>
            <w:u w:val="single"/>
            <w:lang w:val="fr-FR"/>
          </w:rPr>
          <w:t xml:space="preserve"> Policy</w:t>
        </w:r>
      </w:hyperlink>
      <w:r w:rsidRPr="00D72345">
        <w:rPr>
          <w:rFonts w:eastAsia="Calibri"/>
          <w:color w:val="667085"/>
          <w:sz w:val="17"/>
          <w:lang w:val="fr-FR"/>
        </w:rPr>
        <w:t xml:space="preserve"> · </w:t>
      </w:r>
      <w:hyperlink r:id="rId15">
        <w:r w:rsidRPr="00D72345">
          <w:rPr>
            <w:color w:val="2E74B5"/>
            <w:u w:val="single"/>
            <w:lang w:val="fr-FR"/>
          </w:rPr>
          <w:t>BCE — Mise en œuvre et instruments de politique monétaire</w:t>
        </w:r>
      </w:hyperlink>
    </w:p>
    <w:p w14:paraId="6BF0A00A" w14:textId="77777777" w:rsidR="00F86FAD" w:rsidRPr="00D72345" w:rsidRDefault="00000000">
      <w:pPr>
        <w:pStyle w:val="Titre2"/>
        <w:rPr>
          <w:lang w:val="fr-FR"/>
        </w:rPr>
      </w:pPr>
      <w:r w:rsidRPr="00D72345">
        <w:rPr>
          <w:lang w:val="fr-FR"/>
        </w:rPr>
        <w:t xml:space="preserve">3.3 Opérations d'open </w:t>
      </w:r>
      <w:proofErr w:type="spellStart"/>
      <w:r w:rsidRPr="00D72345">
        <w:rPr>
          <w:lang w:val="fr-FR"/>
        </w:rPr>
        <w:t>market</w:t>
      </w:r>
      <w:proofErr w:type="spellEnd"/>
      <w:r w:rsidRPr="00D72345">
        <w:rPr>
          <w:lang w:val="fr-FR"/>
        </w:rPr>
        <w:t xml:space="preserve"> et réserves</w:t>
      </w:r>
    </w:p>
    <w:p w14:paraId="0938829E" w14:textId="77777777" w:rsidR="00F86FAD" w:rsidRPr="00D72345" w:rsidRDefault="00000000">
      <w:pPr>
        <w:rPr>
          <w:lang w:val="fr-FR"/>
        </w:rPr>
      </w:pPr>
      <w:r w:rsidRPr="00D72345">
        <w:rPr>
          <w:rFonts w:eastAsia="Calibri"/>
          <w:lang w:val="fr-FR"/>
        </w:rPr>
        <w:t xml:space="preserve">Les opérations d'open </w:t>
      </w:r>
      <w:proofErr w:type="spellStart"/>
      <w:r w:rsidRPr="00D72345">
        <w:rPr>
          <w:rFonts w:eastAsia="Calibri"/>
          <w:lang w:val="fr-FR"/>
        </w:rPr>
        <w:t>market</w:t>
      </w:r>
      <w:proofErr w:type="spellEnd"/>
      <w:r w:rsidRPr="00D72345">
        <w:rPr>
          <w:rFonts w:eastAsia="Calibri"/>
          <w:lang w:val="fr-FR"/>
        </w:rPr>
        <w:t xml:space="preserve"> sont des achats, ventes, prises en pension ou prêts contre garanties réalisés avec des institutions éligibles. Elles servent à fournir ou retirer de la liquidité, à maintenir les taux courts dans la zone voulue et à stabiliser le marché monétaire. Les réserves obligatoires peuvent aussi influencer la demande de liquidité bancaire, mais leur rôle varie fortement selon le système.</w:t>
      </w:r>
    </w:p>
    <w:p w14:paraId="57F7AFDA" w14:textId="77777777" w:rsidR="00F86FAD" w:rsidRPr="00D72345" w:rsidRDefault="00000000">
      <w:pPr>
        <w:pStyle w:val="Titre2"/>
        <w:rPr>
          <w:lang w:val="fr-FR"/>
        </w:rPr>
      </w:pPr>
      <w:proofErr w:type="spellStart"/>
      <w:proofErr w:type="spellEnd"/>
      <w:r>
        <w:rPr>
          <w:lang w:val="fr-FR"/>
        </w:rPr>
        <w:t>3.4 Approfondissement — Quantitative easing (QE)</w:t>
      </w:r>
    </w:p>
    <w:p w14:paraId="542230D6" w14:textId="77777777" w:rsidR="00F86FAD" w:rsidRPr="00D72345" w:rsidRDefault="00000000">
      <w:pPr>
        <w:rPr>
          <w:lang w:val="fr-FR"/>
        </w:rPr>
      </w:pPr>
      <w:r w:rsidRPr="00D72345">
        <w:rPr>
          <w:rFonts w:eastAsia="Calibri"/>
          <w:lang w:val="fr-FR"/>
        </w:rPr>
        <w:t>Lorsque les taux courts sont très bas ou que les marchés fonctionnent mal, une banque centrale peut acheter massivement des obligations. Ces achats augmentent son bilan et les réserves bancaires. En retirant des titres du marché, ils cherchent généralement à faire baisser les rendements plus longs, à améliorer la liquidité et à assouplir les conditions financières.</w:t>
      </w:r>
    </w:p>
    <w:p w14:paraId="3EB85823" w14:textId="77777777" w:rsidR="00F86FAD" w:rsidRPr="00D72345" w:rsidRDefault="00000000">
      <w:pPr>
        <w:numPr>
          <w:ilvl w:val="0"/>
          <w:numId w:val="1"/>
        </w:numPr>
        <w:spacing w:after="80" w:line="300" w:lineRule="auto"/>
        <w:rPr>
          <w:lang w:val="fr-FR"/>
        </w:rPr>
      </w:pPr>
      <w:r w:rsidRPr="00D72345">
        <w:rPr>
          <w:rFonts w:eastAsia="Calibri"/>
          <w:color w:val="111111"/>
          <w:lang w:val="fr-FR"/>
        </w:rPr>
        <w:t>Ce que le QE peut faire : abaisser certains rendements, soutenir la liquidité, réduire les primes de terme et signaler une politique durablement souple.</w:t>
      </w:r>
    </w:p>
    <w:p w14:paraId="4119FAC0" w14:textId="77777777" w:rsidR="00F86FAD" w:rsidRPr="00D72345" w:rsidRDefault="00000000">
      <w:pPr>
        <w:numPr>
          <w:ilvl w:val="0"/>
          <w:numId w:val="1"/>
        </w:numPr>
        <w:spacing w:after="80" w:line="300" w:lineRule="auto"/>
        <w:rPr>
          <w:lang w:val="fr-FR"/>
        </w:rPr>
      </w:pPr>
      <w:r w:rsidRPr="00D72345">
        <w:rPr>
          <w:rFonts w:eastAsia="Calibri"/>
          <w:color w:val="111111"/>
          <w:lang w:val="fr-FR"/>
        </w:rPr>
        <w:t>Ce qu'il ne garantit pas : une hausse permanente des actions, une explosion automatique du crédit ou une inflation immédiate.</w:t>
      </w:r>
    </w:p>
    <w:p w14:paraId="1CB56EE5" w14:textId="77777777" w:rsidR="00F86FAD" w:rsidRPr="00D72345" w:rsidRDefault="00000000">
      <w:pPr>
        <w:numPr>
          <w:ilvl w:val="0"/>
          <w:numId w:val="1"/>
        </w:numPr>
        <w:spacing w:after="80" w:line="300" w:lineRule="auto"/>
        <w:rPr>
          <w:lang w:val="fr-FR"/>
        </w:rPr>
      </w:pPr>
      <w:r w:rsidRPr="00D72345">
        <w:rPr>
          <w:rFonts w:eastAsia="Calibri"/>
          <w:color w:val="111111"/>
          <w:lang w:val="fr-FR"/>
        </w:rPr>
        <w:t>Pourquoi : les banques prêtent seulement si elles trouvent des emprunteurs solvables et si la demande de crédit existe.</w:t>
      </w:r>
    </w:p>
    <w:p w14:paraId="776C042E" w14:textId="77777777" w:rsidR="00F86FAD" w:rsidRPr="00D72345" w:rsidRDefault="00000000">
      <w:pPr>
        <w:pStyle w:val="Titre2"/>
        <w:rPr>
          <w:lang w:val="fr-FR"/>
        </w:rPr>
      </w:pPr>
      <w:proofErr w:type="spellStart"/>
      <w:proofErr w:type="spellEnd"/>
      <w:r>
        <w:rPr>
          <w:lang w:val="fr-FR"/>
        </w:rPr>
        <w:t>3.5 Approfondissement — Quantitative tightening (QT)</w:t>
      </w:r>
    </w:p>
    <w:p w14:paraId="05E9535F" w14:textId="77777777" w:rsidR="00F86FAD" w:rsidRPr="00D72345" w:rsidRDefault="00000000">
      <w:pPr>
        <w:rPr>
          <w:lang w:val="fr-FR"/>
        </w:rPr>
      </w:pPr>
      <w:r w:rsidRPr="00D72345">
        <w:rPr>
          <w:rFonts w:eastAsia="Calibri"/>
          <w:lang w:val="fr-FR"/>
        </w:rPr>
        <w:t>Le QT réduit progressivement le bilan. La banque laisse des titres arriver à échéance sans tout réinvestir, ou plus rarement en vend. Cela retire une partie du soutien apporté par les achats, réduit les réserves au fil du temps et peut exercer une pression haussière sur les rendements ou les primes de terme. L'effet dépend du rythme annoncé, de la liquidité disponible et de ce qui était anticipé.</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400"/>
        <w:gridCol w:w="2100"/>
        <w:gridCol w:w="2100"/>
        <w:gridCol w:w="3760"/>
      </w:tblGrid>
      <w:tr w:rsidR="00F86FAD" w14:paraId="25CC9E15" w14:textId="77777777">
        <w:trPr>
          <w:cantSplit/>
          <w:tblHeader/>
        </w:trPr>
        <w:tc>
          <w:tcPr>
            <w:tcW w:w="1400" w:type="dxa"/>
            <w:shd w:val="clear" w:color="auto" w:fill="F4F6F9"/>
            <w:tcMar>
              <w:top w:w="80" w:type="dxa"/>
              <w:left w:w="120" w:type="dxa"/>
              <w:bottom w:w="80" w:type="dxa"/>
              <w:right w:w="120" w:type="dxa"/>
            </w:tcMar>
            <w:vAlign w:val="center"/>
          </w:tcPr>
          <w:p w14:paraId="63302453" w14:textId="77777777" w:rsidR="00F86FAD" w:rsidRDefault="00000000">
            <w:pPr>
              <w:spacing w:after="0" w:line="283" w:lineRule="auto"/>
              <w:jc w:val="left"/>
            </w:pPr>
            <w:proofErr w:type="spellStart"/>
            <w:r>
              <w:rPr>
                <w:rFonts w:eastAsia="Calibri"/>
                <w:b/>
                <w:color w:val="0B2545"/>
                <w:sz w:val="19"/>
              </w:rPr>
              <w:t>Outil</w:t>
            </w:r>
            <w:proofErr w:type="spellEnd"/>
          </w:p>
        </w:tc>
        <w:tc>
          <w:tcPr>
            <w:tcW w:w="2100" w:type="dxa"/>
            <w:shd w:val="clear" w:color="auto" w:fill="F4F6F9"/>
            <w:tcMar>
              <w:top w:w="80" w:type="dxa"/>
              <w:left w:w="120" w:type="dxa"/>
              <w:bottom w:w="80" w:type="dxa"/>
              <w:right w:w="120" w:type="dxa"/>
            </w:tcMar>
            <w:vAlign w:val="center"/>
          </w:tcPr>
          <w:p w14:paraId="48EE6290" w14:textId="77777777" w:rsidR="00F86FAD" w:rsidRPr="00D72345" w:rsidRDefault="00000000">
            <w:pPr>
              <w:spacing w:after="0" w:line="283" w:lineRule="auto"/>
              <w:jc w:val="left"/>
              <w:rPr>
                <w:lang w:val="fr-FR"/>
              </w:rPr>
            </w:pPr>
            <w:r w:rsidRPr="00D72345">
              <w:rPr>
                <w:rFonts w:eastAsia="Calibri"/>
                <w:b/>
                <w:color w:val="0B2545"/>
                <w:sz w:val="19"/>
                <w:lang w:val="fr-FR"/>
              </w:rPr>
              <w:t>Bilan de la banque centrale</w:t>
            </w:r>
          </w:p>
        </w:tc>
        <w:tc>
          <w:tcPr>
            <w:tcW w:w="2100" w:type="dxa"/>
            <w:shd w:val="clear" w:color="auto" w:fill="F4F6F9"/>
            <w:tcMar>
              <w:top w:w="80" w:type="dxa"/>
              <w:left w:w="120" w:type="dxa"/>
              <w:bottom w:w="80" w:type="dxa"/>
              <w:right w:w="120" w:type="dxa"/>
            </w:tcMar>
            <w:vAlign w:val="center"/>
          </w:tcPr>
          <w:p w14:paraId="7C48030E" w14:textId="77777777" w:rsidR="00F86FAD" w:rsidRDefault="00000000">
            <w:pPr>
              <w:spacing w:after="0" w:line="283" w:lineRule="auto"/>
              <w:jc w:val="left"/>
            </w:pPr>
            <w:r>
              <w:rPr>
                <w:rFonts w:eastAsia="Calibri"/>
                <w:b/>
                <w:color w:val="0B2545"/>
                <w:sz w:val="19"/>
              </w:rPr>
              <w:t xml:space="preserve">Orientation </w:t>
            </w:r>
            <w:proofErr w:type="spellStart"/>
            <w:r>
              <w:rPr>
                <w:rFonts w:eastAsia="Calibri"/>
                <w:b/>
                <w:color w:val="0B2545"/>
                <w:sz w:val="19"/>
              </w:rPr>
              <w:t>générale</w:t>
            </w:r>
            <w:proofErr w:type="spellEnd"/>
          </w:p>
        </w:tc>
        <w:tc>
          <w:tcPr>
            <w:tcW w:w="3760" w:type="dxa"/>
            <w:shd w:val="clear" w:color="auto" w:fill="F4F6F9"/>
            <w:tcMar>
              <w:top w:w="80" w:type="dxa"/>
              <w:left w:w="120" w:type="dxa"/>
              <w:bottom w:w="80" w:type="dxa"/>
              <w:right w:w="120" w:type="dxa"/>
            </w:tcMar>
            <w:vAlign w:val="center"/>
          </w:tcPr>
          <w:p w14:paraId="71AA1AA2" w14:textId="77777777" w:rsidR="00F86FAD" w:rsidRDefault="00000000">
            <w:pPr>
              <w:spacing w:after="0" w:line="283" w:lineRule="auto"/>
              <w:jc w:val="left"/>
            </w:pPr>
            <w:r>
              <w:rPr>
                <w:rFonts w:eastAsia="Calibri"/>
                <w:b/>
                <w:color w:val="0B2545"/>
                <w:sz w:val="19"/>
              </w:rPr>
              <w:t>Risque d'interprétation</w:t>
            </w:r>
          </w:p>
        </w:tc>
      </w:tr>
      <w:tr w:rsidR="00F86FAD" w:rsidRPr="00D72345" w14:paraId="40232FF6" w14:textId="77777777">
        <w:trPr>
          <w:cantSplit/>
        </w:trPr>
        <w:tc>
          <w:tcPr>
            <w:tcW w:w="1400" w:type="dxa"/>
            <w:tcMar>
              <w:top w:w="80" w:type="dxa"/>
              <w:left w:w="120" w:type="dxa"/>
              <w:bottom w:w="80" w:type="dxa"/>
              <w:right w:w="120" w:type="dxa"/>
            </w:tcMar>
            <w:vAlign w:val="center"/>
          </w:tcPr>
          <w:p w14:paraId="35D94E64" w14:textId="77777777" w:rsidR="00F86FAD" w:rsidRDefault="00000000">
            <w:pPr>
              <w:spacing w:after="0" w:line="283" w:lineRule="auto"/>
              <w:jc w:val="left"/>
            </w:pPr>
            <w:r>
              <w:rPr>
                <w:rFonts w:eastAsia="Calibri"/>
                <w:sz w:val="19"/>
              </w:rPr>
              <w:t>QE</w:t>
            </w:r>
          </w:p>
        </w:tc>
        <w:tc>
          <w:tcPr>
            <w:tcW w:w="2100" w:type="dxa"/>
            <w:tcMar>
              <w:top w:w="80" w:type="dxa"/>
              <w:left w:w="120" w:type="dxa"/>
              <w:bottom w:w="80" w:type="dxa"/>
              <w:right w:w="120" w:type="dxa"/>
            </w:tcMar>
            <w:vAlign w:val="center"/>
          </w:tcPr>
          <w:p w14:paraId="6CA12618" w14:textId="77777777" w:rsidR="00F86FAD" w:rsidRDefault="00000000">
            <w:pPr>
              <w:spacing w:after="0" w:line="283" w:lineRule="auto"/>
              <w:jc w:val="left"/>
            </w:pPr>
            <w:r>
              <w:rPr>
                <w:rFonts w:eastAsia="Calibri"/>
                <w:sz w:val="19"/>
              </w:rPr>
              <w:t>Augmente</w:t>
            </w:r>
          </w:p>
        </w:tc>
        <w:tc>
          <w:tcPr>
            <w:tcW w:w="2100" w:type="dxa"/>
            <w:tcMar>
              <w:top w:w="80" w:type="dxa"/>
              <w:left w:w="120" w:type="dxa"/>
              <w:bottom w:w="80" w:type="dxa"/>
              <w:right w:w="120" w:type="dxa"/>
            </w:tcMar>
            <w:vAlign w:val="center"/>
          </w:tcPr>
          <w:p w14:paraId="7D3F69C4" w14:textId="77777777" w:rsidR="00F86FAD" w:rsidRDefault="00000000">
            <w:pPr>
              <w:spacing w:after="0" w:line="283" w:lineRule="auto"/>
              <w:jc w:val="left"/>
            </w:pPr>
            <w:r>
              <w:rPr>
                <w:rFonts w:eastAsia="Calibri"/>
                <w:sz w:val="19"/>
              </w:rPr>
              <w:t>Assouplissement</w:t>
            </w:r>
          </w:p>
        </w:tc>
        <w:tc>
          <w:tcPr>
            <w:tcW w:w="3760" w:type="dxa"/>
            <w:tcMar>
              <w:top w:w="80" w:type="dxa"/>
              <w:left w:w="120" w:type="dxa"/>
              <w:bottom w:w="80" w:type="dxa"/>
              <w:right w:w="120" w:type="dxa"/>
            </w:tcMar>
            <w:vAlign w:val="center"/>
          </w:tcPr>
          <w:p w14:paraId="04C97892" w14:textId="77777777" w:rsidR="00F86FAD" w:rsidRPr="00D72345" w:rsidRDefault="00000000">
            <w:pPr>
              <w:spacing w:after="0" w:line="283" w:lineRule="auto"/>
              <w:jc w:val="left"/>
              <w:rPr>
                <w:lang w:val="fr-FR"/>
              </w:rPr>
            </w:pPr>
            <w:r w:rsidRPr="00D72345">
              <w:rPr>
                <w:rFonts w:eastAsia="Calibri"/>
                <w:sz w:val="19"/>
                <w:lang w:val="fr-FR"/>
              </w:rPr>
              <w:t>Croire que toute monnaie centrale devient immédiatement du crédit ou de la consommation</w:t>
            </w:r>
          </w:p>
        </w:tc>
      </w:tr>
      <w:tr w:rsidR="00F86FAD" w:rsidRPr="00D72345" w14:paraId="5AB520E7" w14:textId="77777777">
        <w:trPr>
          <w:cantSplit/>
        </w:trPr>
        <w:tc>
          <w:tcPr>
            <w:tcW w:w="1400" w:type="dxa"/>
            <w:shd w:val="clear" w:color="auto" w:fill="FAFBFC"/>
            <w:tcMar>
              <w:top w:w="80" w:type="dxa"/>
              <w:left w:w="120" w:type="dxa"/>
              <w:bottom w:w="80" w:type="dxa"/>
              <w:right w:w="120" w:type="dxa"/>
            </w:tcMar>
            <w:vAlign w:val="center"/>
          </w:tcPr>
          <w:p w14:paraId="20F3CFAE" w14:textId="77777777" w:rsidR="00F86FAD" w:rsidRDefault="00000000">
            <w:pPr>
              <w:spacing w:after="0" w:line="283" w:lineRule="auto"/>
              <w:jc w:val="left"/>
            </w:pPr>
            <w:r>
              <w:rPr>
                <w:rFonts w:eastAsia="Calibri"/>
                <w:sz w:val="19"/>
              </w:rPr>
              <w:t>QT</w:t>
            </w:r>
          </w:p>
        </w:tc>
        <w:tc>
          <w:tcPr>
            <w:tcW w:w="2100" w:type="dxa"/>
            <w:shd w:val="clear" w:color="auto" w:fill="FAFBFC"/>
            <w:tcMar>
              <w:top w:w="80" w:type="dxa"/>
              <w:left w:w="120" w:type="dxa"/>
              <w:bottom w:w="80" w:type="dxa"/>
              <w:right w:w="120" w:type="dxa"/>
            </w:tcMar>
            <w:vAlign w:val="center"/>
          </w:tcPr>
          <w:p w14:paraId="4472FB7C" w14:textId="77777777" w:rsidR="00F86FAD" w:rsidRDefault="00000000">
            <w:pPr>
              <w:spacing w:after="0" w:line="283" w:lineRule="auto"/>
              <w:jc w:val="left"/>
            </w:pPr>
            <w:r>
              <w:rPr>
                <w:rFonts w:eastAsia="Calibri"/>
                <w:sz w:val="19"/>
              </w:rPr>
              <w:t>Diminue</w:t>
            </w:r>
          </w:p>
        </w:tc>
        <w:tc>
          <w:tcPr>
            <w:tcW w:w="2100" w:type="dxa"/>
            <w:shd w:val="clear" w:color="auto" w:fill="FAFBFC"/>
            <w:tcMar>
              <w:top w:w="80" w:type="dxa"/>
              <w:left w:w="120" w:type="dxa"/>
              <w:bottom w:w="80" w:type="dxa"/>
              <w:right w:w="120" w:type="dxa"/>
            </w:tcMar>
            <w:vAlign w:val="center"/>
          </w:tcPr>
          <w:p w14:paraId="0A26A382" w14:textId="77777777" w:rsidR="00F86FAD" w:rsidRDefault="00000000">
            <w:pPr>
              <w:spacing w:after="0" w:line="283" w:lineRule="auto"/>
              <w:jc w:val="left"/>
            </w:pPr>
            <w:r>
              <w:rPr>
                <w:rFonts w:eastAsia="Calibri"/>
                <w:sz w:val="19"/>
              </w:rPr>
              <w:t>Resserrement</w:t>
            </w:r>
          </w:p>
        </w:tc>
        <w:tc>
          <w:tcPr>
            <w:tcW w:w="3760" w:type="dxa"/>
            <w:shd w:val="clear" w:color="auto" w:fill="FAFBFC"/>
            <w:tcMar>
              <w:top w:w="80" w:type="dxa"/>
              <w:left w:w="120" w:type="dxa"/>
              <w:bottom w:w="80" w:type="dxa"/>
              <w:right w:w="120" w:type="dxa"/>
            </w:tcMar>
            <w:vAlign w:val="center"/>
          </w:tcPr>
          <w:p w14:paraId="075B7571" w14:textId="77777777" w:rsidR="00F86FAD" w:rsidRPr="00D72345" w:rsidRDefault="00000000">
            <w:pPr>
              <w:spacing w:after="0" w:line="283" w:lineRule="auto"/>
              <w:jc w:val="left"/>
              <w:rPr>
                <w:lang w:val="fr-FR"/>
              </w:rPr>
            </w:pPr>
            <w:r w:rsidRPr="00D72345">
              <w:rPr>
                <w:rFonts w:eastAsia="Calibri"/>
                <w:sz w:val="19"/>
                <w:lang w:val="fr-FR"/>
              </w:rPr>
              <w:t>Croire que son effet est identique à une hausse de taux de même ampleur</w:t>
            </w:r>
          </w:p>
        </w:tc>
      </w:tr>
    </w:tbl>
    <w:p w14:paraId="71BC283D" w14:textId="77777777" w:rsidR="00F86FAD" w:rsidRPr="00D72345" w:rsidRDefault="00F86FAD">
      <w:pPr>
        <w:spacing w:after="100"/>
        <w:rPr>
          <w:lang w:val="fr-FR"/>
        </w:rPr>
      </w:pPr>
    </w:p>
    <w:p w14:paraId="5A60A2B2"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16">
        <w:r w:rsidRPr="00D72345">
          <w:rPr>
            <w:color w:val="2E74B5"/>
            <w:u w:val="single"/>
            <w:lang w:val="fr-FR"/>
          </w:rPr>
          <w:t xml:space="preserve">Banque d'Angleterre — Quantitative </w:t>
        </w:r>
        <w:proofErr w:type="spellStart"/>
        <w:r w:rsidRPr="00D72345">
          <w:rPr>
            <w:color w:val="2E74B5"/>
            <w:u w:val="single"/>
            <w:lang w:val="fr-FR"/>
          </w:rPr>
          <w:t>easing</w:t>
        </w:r>
        <w:proofErr w:type="spellEnd"/>
      </w:hyperlink>
      <w:r w:rsidRPr="00D72345">
        <w:rPr>
          <w:rFonts w:eastAsia="Calibri"/>
          <w:color w:val="667085"/>
          <w:sz w:val="17"/>
          <w:lang w:val="fr-FR"/>
        </w:rPr>
        <w:t xml:space="preserve"> · </w:t>
      </w:r>
      <w:hyperlink r:id="rId17">
        <w:r w:rsidRPr="00D72345">
          <w:rPr>
            <w:color w:val="2E74B5"/>
            <w:u w:val="single"/>
            <w:lang w:val="fr-FR"/>
          </w:rPr>
          <w:t>BCE — Mise en œuvre et instruments de politique monétaire</w:t>
        </w:r>
      </w:hyperlink>
    </w:p>
    <w:p w14:paraId="484E6E4A" w14:textId="77777777" w:rsidR="00F86FAD" w:rsidRPr="00D72345" w:rsidRDefault="00000000">
      <w:pPr>
        <w:pStyle w:val="Titre2"/>
        <w:rPr>
          <w:lang w:val="fr-FR"/>
        </w:rPr>
      </w:pPr>
      <w:r w:rsidRPr="00D72345">
        <w:rPr>
          <w:lang w:val="fr-FR"/>
        </w:rPr>
        <w:t>3.6 Forward guidance</w:t>
      </w:r>
    </w:p>
    <w:p w14:paraId="03E9EEBE" w14:textId="77777777" w:rsidR="00F86FAD" w:rsidRPr="00D72345" w:rsidRDefault="00000000">
      <w:pPr>
        <w:rPr>
          <w:lang w:val="fr-FR"/>
        </w:rPr>
      </w:pPr>
      <w:r w:rsidRPr="00D72345">
        <w:rPr>
          <w:rFonts w:eastAsia="Calibri"/>
          <w:lang w:val="fr-FR"/>
        </w:rPr>
        <w:t xml:space="preserve">La </w:t>
      </w:r>
      <w:proofErr w:type="spellStart"/>
      <w:r w:rsidRPr="00D72345">
        <w:rPr>
          <w:rFonts w:eastAsia="Calibri"/>
          <w:lang w:val="fr-FR"/>
        </w:rPr>
        <w:t>forward</w:t>
      </w:r>
      <w:proofErr w:type="spellEnd"/>
      <w:r w:rsidRPr="00D72345">
        <w:rPr>
          <w:rFonts w:eastAsia="Calibri"/>
          <w:lang w:val="fr-FR"/>
        </w:rPr>
        <w:t xml:space="preserve"> guidance est l'indication donnée sur les décisions futures. Elle peut être liée à une date, à des seuils économiques ou rester qualitative. Son but est d'influencer les taux à plusieurs échéances dès aujourd'hui. Une phrase crédible sur des taux élevés plus longtemps peut resserrer les conditions financières sans hausse immédiate.</w:t>
      </w:r>
    </w:p>
    <w:p w14:paraId="4078AB0B" w14:textId="77777777" w:rsidR="00F86FAD" w:rsidRPr="00D72345" w:rsidRDefault="00000000">
      <w:pPr>
        <w:pStyle w:val="Titre2"/>
        <w:rPr>
          <w:lang w:val="fr-FR"/>
        </w:rPr>
      </w:pPr>
      <w:r>
        <w:rPr>
          <w:lang w:val="fr-FR"/>
        </w:rPr>
        <w:t>3.7 Approfondissement — Contrôle de la courbe des taux (YCC)</w:t>
      </w:r>
    </w:p>
    <w:p w14:paraId="70468B6D" w14:textId="77777777" w:rsidR="00F86FAD" w:rsidRPr="00D72345" w:rsidRDefault="00000000">
      <w:pPr>
        <w:rPr>
          <w:lang w:val="fr-FR"/>
        </w:rPr>
      </w:pPr>
      <w:r w:rsidRPr="00D72345">
        <w:rPr>
          <w:rFonts w:eastAsia="Calibri"/>
          <w:lang w:val="fr-FR"/>
        </w:rPr>
        <w:t xml:space="preserve">Avec le </w:t>
      </w:r>
      <w:proofErr w:type="spellStart"/>
      <w:r w:rsidRPr="00D72345">
        <w:rPr>
          <w:rFonts w:eastAsia="Calibri"/>
          <w:lang w:val="fr-FR"/>
        </w:rPr>
        <w:t>yield</w:t>
      </w:r>
      <w:proofErr w:type="spellEnd"/>
      <w:r w:rsidRPr="00D72345">
        <w:rPr>
          <w:rFonts w:eastAsia="Calibri"/>
          <w:lang w:val="fr-FR"/>
        </w:rPr>
        <w:t xml:space="preserve"> </w:t>
      </w:r>
      <w:proofErr w:type="spellStart"/>
      <w:r w:rsidRPr="00D72345">
        <w:rPr>
          <w:rFonts w:eastAsia="Calibri"/>
          <w:lang w:val="fr-FR"/>
        </w:rPr>
        <w:t>curve</w:t>
      </w:r>
      <w:proofErr w:type="spellEnd"/>
      <w:r w:rsidRPr="00D72345">
        <w:rPr>
          <w:rFonts w:eastAsia="Calibri"/>
          <w:lang w:val="fr-FR"/>
        </w:rPr>
        <w:t xml:space="preserve"> control, la banque vise un niveau ou une zone de rendement sur une maturité précise et se tient prête à acheter des obligations pour défendre cette zone. Cet outil agit directement sur un segment de la courbe, mais il peut exiger des achats très importants si le marché teste la crédibilité de la cible.</w:t>
      </w:r>
    </w:p>
    <w:p w14:paraId="5D5FCAE8" w14:textId="77777777" w:rsidR="00F86FAD" w:rsidRPr="00D72345" w:rsidRDefault="00000000">
      <w:pPr>
        <w:pStyle w:val="Titre2"/>
        <w:rPr>
          <w:lang w:val="fr-FR"/>
        </w:rPr>
      </w:pPr>
      <w:r>
        <w:rPr>
          <w:lang w:val="fr-FR"/>
        </w:rPr>
        <w:t>3.8 Approfondissement — Prêteur en dernier ressort</w:t>
      </w:r>
    </w:p>
    <w:p w14:paraId="3EF81F4A" w14:textId="77777777" w:rsidR="00F86FAD" w:rsidRPr="00D72345" w:rsidRDefault="00000000">
      <w:pPr>
        <w:rPr>
          <w:lang w:val="fr-FR"/>
        </w:rPr>
      </w:pPr>
      <w:r w:rsidRPr="00D72345">
        <w:rPr>
          <w:rFonts w:eastAsia="Calibri"/>
          <w:lang w:val="fr-FR"/>
        </w:rPr>
        <w:t>En crise de liquidité, une institution solvable peut manquer temporairement de financement parce que tout le marché se fige. La banque centrale peut alors prêter contre garanties afin d'éviter qu'un problème de liquidité ne détruise le système de paiements. Ce rôle ne doit pas être confondu avec le sauvetage automatique d'une institution insolvable.</w:t>
      </w:r>
    </w:p>
    <w:p w14:paraId="4FD54122" w14:textId="77777777" w:rsidR="00F86FAD" w:rsidRPr="00D72345" w:rsidRDefault="00000000">
      <w:pPr>
        <w:keepLines/>
        <w:pBdr>
          <w:left w:val="single" w:sz="18" w:space="8" w:color="A61B1B"/>
        </w:pBdr>
        <w:shd w:val="clear" w:color="auto" w:fill="FCEDED"/>
        <w:spacing w:before="100" w:after="200" w:line="288" w:lineRule="auto"/>
        <w:ind w:left="173" w:right="115"/>
        <w:rPr>
          <w:lang w:val="fr-FR"/>
        </w:rPr>
      </w:pPr>
      <w:r w:rsidRPr="00D72345">
        <w:rPr>
          <w:rFonts w:eastAsia="Calibri"/>
          <w:b/>
          <w:color w:val="A61B1B"/>
          <w:sz w:val="20"/>
          <w:lang w:val="fr-FR"/>
        </w:rPr>
        <w:t xml:space="preserve">DIFFÉRENCE </w:t>
      </w:r>
      <w:proofErr w:type="gramStart"/>
      <w:r w:rsidRPr="00D72345">
        <w:rPr>
          <w:rFonts w:eastAsia="Calibri"/>
          <w:b/>
          <w:color w:val="A61B1B"/>
          <w:sz w:val="20"/>
          <w:lang w:val="fr-FR"/>
        </w:rPr>
        <w:t xml:space="preserve">ESSENTIELLE  </w:t>
      </w:r>
      <w:r w:rsidRPr="00D72345">
        <w:rPr>
          <w:rFonts w:eastAsia="Calibri"/>
          <w:sz w:val="21"/>
          <w:lang w:val="fr-FR"/>
        </w:rPr>
        <w:t>Liquidité</w:t>
      </w:r>
      <w:proofErr w:type="gramEnd"/>
      <w:r w:rsidRPr="00D72345">
        <w:rPr>
          <w:rFonts w:eastAsia="Calibri"/>
          <w:sz w:val="21"/>
          <w:lang w:val="fr-FR"/>
        </w:rPr>
        <w:t xml:space="preserve"> : l'argent n'est pas disponible au bon moment. Solvabilité : la valeur des actifs ne couvre plus les dettes. Fournir du temps peut résoudre le premier problème, pas forcément le second.</w:t>
      </w:r>
    </w:p>
    <w:p w14:paraId="43309ABB" w14:textId="77777777" w:rsidR="00F86FAD" w:rsidRPr="00D72345" w:rsidRDefault="00000000">
      <w:pPr>
        <w:pStyle w:val="Titre2"/>
        <w:rPr>
          <w:lang w:val="fr-FR"/>
        </w:rPr>
      </w:pPr>
      <w:r>
        <w:rPr>
          <w:lang w:val="fr-FR"/>
        </w:rPr>
        <w:t>3.9 Approfondissement — Interventions de change</w:t>
      </w:r>
    </w:p>
    <w:p w14:paraId="3AACC88F" w14:textId="77777777" w:rsidR="00F86FAD" w:rsidRPr="00D72345" w:rsidRDefault="00000000">
      <w:pPr>
        <w:rPr>
          <w:lang w:val="fr-FR"/>
        </w:rPr>
      </w:pPr>
      <w:r w:rsidRPr="00D72345">
        <w:rPr>
          <w:rFonts w:eastAsia="Calibri"/>
          <w:lang w:val="fr-FR"/>
        </w:rPr>
        <w:t>Une autorité peut acheter ou vendre des devises afin de limiter un mouvement jugé excessif. Selon le pays, la décision appartient à la banque centrale, au gouvernement ou aux deux. Une intervention stérilisée cherche à agir sur le change sans modifier durablement la quantité de monnaie centrale ; une intervention non stérilisée modifie aussi la liquidité domestique.</w:t>
      </w:r>
    </w:p>
    <w:p w14:paraId="1196DA83" w14:textId="77777777" w:rsidR="00F86FAD" w:rsidRDefault="00000000">
      <w:pPr>
        <w:pStyle w:val="Titre2"/>
      </w:pPr>
      <w:r>
        <w:t xml:space="preserve">3.10 Tableau de </w:t>
      </w:r>
      <w:proofErr w:type="spellStart"/>
      <w:r>
        <w:t>synthèse</w:t>
      </w:r>
      <w:proofErr w:type="spellEnd"/>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100"/>
        <w:gridCol w:w="3000"/>
        <w:gridCol w:w="4260"/>
      </w:tblGrid>
      <w:tr w:rsidR="00F86FAD" w:rsidRPr="00D72345" w14:paraId="2AD96BD2" w14:textId="77777777">
        <w:trPr>
          <w:cantSplit/>
          <w:tblHeader/>
        </w:trPr>
        <w:tc>
          <w:tcPr>
            <w:tcW w:w="2100" w:type="dxa"/>
            <w:shd w:val="clear" w:color="auto" w:fill="F4F6F9"/>
            <w:tcMar>
              <w:top w:w="80" w:type="dxa"/>
              <w:left w:w="120" w:type="dxa"/>
              <w:bottom w:w="80" w:type="dxa"/>
              <w:right w:w="120" w:type="dxa"/>
            </w:tcMar>
            <w:vAlign w:val="center"/>
          </w:tcPr>
          <w:p w14:paraId="63498EC8" w14:textId="77777777" w:rsidR="00F86FAD" w:rsidRDefault="00000000">
            <w:pPr>
              <w:spacing w:after="0" w:line="283" w:lineRule="auto"/>
              <w:jc w:val="left"/>
            </w:pPr>
            <w:r>
              <w:rPr>
                <w:rFonts w:eastAsia="Calibri"/>
                <w:b/>
                <w:color w:val="0B2545"/>
                <w:sz w:val="19"/>
              </w:rPr>
              <w:t>Outil</w:t>
            </w:r>
          </w:p>
        </w:tc>
        <w:tc>
          <w:tcPr>
            <w:tcW w:w="3000" w:type="dxa"/>
            <w:shd w:val="clear" w:color="auto" w:fill="F4F6F9"/>
            <w:tcMar>
              <w:top w:w="80" w:type="dxa"/>
              <w:left w:w="120" w:type="dxa"/>
              <w:bottom w:w="80" w:type="dxa"/>
              <w:right w:w="120" w:type="dxa"/>
            </w:tcMar>
            <w:vAlign w:val="center"/>
          </w:tcPr>
          <w:p w14:paraId="17F77B88" w14:textId="77777777" w:rsidR="00F86FAD" w:rsidRDefault="00000000">
            <w:pPr>
              <w:spacing w:after="0" w:line="283" w:lineRule="auto"/>
              <w:jc w:val="left"/>
            </w:pPr>
            <w:r>
              <w:rPr>
                <w:rFonts w:eastAsia="Calibri"/>
                <w:b/>
                <w:color w:val="0B2545"/>
                <w:sz w:val="19"/>
              </w:rPr>
              <w:t>Cible immédiate</w:t>
            </w:r>
          </w:p>
        </w:tc>
        <w:tc>
          <w:tcPr>
            <w:tcW w:w="4260" w:type="dxa"/>
            <w:shd w:val="clear" w:color="auto" w:fill="F4F6F9"/>
            <w:tcMar>
              <w:top w:w="80" w:type="dxa"/>
              <w:left w:w="120" w:type="dxa"/>
              <w:bottom w:w="80" w:type="dxa"/>
              <w:right w:w="120" w:type="dxa"/>
            </w:tcMar>
            <w:vAlign w:val="center"/>
          </w:tcPr>
          <w:p w14:paraId="0C4AC0F7" w14:textId="77777777" w:rsidR="00F86FAD" w:rsidRPr="00D72345" w:rsidRDefault="00000000">
            <w:pPr>
              <w:spacing w:after="0" w:line="283" w:lineRule="auto"/>
              <w:jc w:val="left"/>
              <w:rPr>
                <w:lang w:val="fr-FR"/>
              </w:rPr>
            </w:pPr>
            <w:r w:rsidRPr="00D72345">
              <w:rPr>
                <w:rFonts w:eastAsia="Calibri"/>
                <w:b/>
                <w:color w:val="0B2545"/>
                <w:sz w:val="19"/>
                <w:lang w:val="fr-FR"/>
              </w:rPr>
              <w:t>Quand il est surtout utilisé</w:t>
            </w:r>
          </w:p>
        </w:tc>
      </w:tr>
      <w:tr w:rsidR="00F86FAD" w:rsidRPr="00D72345" w14:paraId="2477F3C1" w14:textId="77777777">
        <w:trPr>
          <w:cantSplit/>
        </w:trPr>
        <w:tc>
          <w:tcPr>
            <w:tcW w:w="2100" w:type="dxa"/>
            <w:tcMar>
              <w:top w:w="80" w:type="dxa"/>
              <w:left w:w="120" w:type="dxa"/>
              <w:bottom w:w="80" w:type="dxa"/>
              <w:right w:w="120" w:type="dxa"/>
            </w:tcMar>
            <w:vAlign w:val="center"/>
          </w:tcPr>
          <w:p w14:paraId="720A1195" w14:textId="77777777" w:rsidR="00F86FAD" w:rsidRDefault="00000000">
            <w:pPr>
              <w:spacing w:after="0" w:line="283" w:lineRule="auto"/>
              <w:jc w:val="left"/>
            </w:pPr>
            <w:proofErr w:type="spellStart"/>
            <w:r>
              <w:rPr>
                <w:rFonts w:eastAsia="Calibri"/>
                <w:sz w:val="19"/>
              </w:rPr>
              <w:t>Taux</w:t>
            </w:r>
            <w:proofErr w:type="spellEnd"/>
            <w:r>
              <w:rPr>
                <w:rFonts w:eastAsia="Calibri"/>
                <w:sz w:val="19"/>
              </w:rPr>
              <w:t xml:space="preserve"> </w:t>
            </w:r>
            <w:proofErr w:type="spellStart"/>
            <w:r>
              <w:rPr>
                <w:rFonts w:eastAsia="Calibri"/>
                <w:sz w:val="19"/>
              </w:rPr>
              <w:t>directeur</w:t>
            </w:r>
            <w:proofErr w:type="spellEnd"/>
          </w:p>
        </w:tc>
        <w:tc>
          <w:tcPr>
            <w:tcW w:w="3000" w:type="dxa"/>
            <w:tcMar>
              <w:top w:w="80" w:type="dxa"/>
              <w:left w:w="120" w:type="dxa"/>
              <w:bottom w:w="80" w:type="dxa"/>
              <w:right w:w="120" w:type="dxa"/>
            </w:tcMar>
            <w:vAlign w:val="center"/>
          </w:tcPr>
          <w:p w14:paraId="0751671C" w14:textId="77777777" w:rsidR="00F86FAD" w:rsidRDefault="00000000">
            <w:pPr>
              <w:spacing w:after="0" w:line="283" w:lineRule="auto"/>
              <w:jc w:val="left"/>
            </w:pPr>
            <w:r>
              <w:rPr>
                <w:rFonts w:eastAsia="Calibri"/>
                <w:sz w:val="19"/>
              </w:rPr>
              <w:t>Taux monétaires courts</w:t>
            </w:r>
          </w:p>
        </w:tc>
        <w:tc>
          <w:tcPr>
            <w:tcW w:w="4260" w:type="dxa"/>
            <w:tcMar>
              <w:top w:w="80" w:type="dxa"/>
              <w:left w:w="120" w:type="dxa"/>
              <w:bottom w:w="80" w:type="dxa"/>
              <w:right w:w="120" w:type="dxa"/>
            </w:tcMar>
            <w:vAlign w:val="center"/>
          </w:tcPr>
          <w:p w14:paraId="58ED58E3" w14:textId="77777777" w:rsidR="00F86FAD" w:rsidRPr="00D72345" w:rsidRDefault="00000000">
            <w:pPr>
              <w:spacing w:after="0" w:line="283" w:lineRule="auto"/>
              <w:jc w:val="left"/>
              <w:rPr>
                <w:lang w:val="fr-FR"/>
              </w:rPr>
            </w:pPr>
            <w:r w:rsidRPr="00D72345">
              <w:rPr>
                <w:rFonts w:eastAsia="Calibri"/>
                <w:sz w:val="19"/>
                <w:lang w:val="fr-FR"/>
              </w:rPr>
              <w:t>Outil principal en régime normal</w:t>
            </w:r>
          </w:p>
        </w:tc>
      </w:tr>
      <w:tr w:rsidR="00F86FAD" w:rsidRPr="00D72345" w14:paraId="0B0E4665" w14:textId="77777777">
        <w:trPr>
          <w:cantSplit/>
        </w:trPr>
        <w:tc>
          <w:tcPr>
            <w:tcW w:w="2100" w:type="dxa"/>
            <w:shd w:val="clear" w:color="auto" w:fill="FAFBFC"/>
            <w:tcMar>
              <w:top w:w="80" w:type="dxa"/>
              <w:left w:w="120" w:type="dxa"/>
              <w:bottom w:w="80" w:type="dxa"/>
              <w:right w:w="120" w:type="dxa"/>
            </w:tcMar>
            <w:vAlign w:val="center"/>
          </w:tcPr>
          <w:p w14:paraId="28CEED2F" w14:textId="77777777" w:rsidR="00F86FAD" w:rsidRDefault="00000000">
            <w:pPr>
              <w:spacing w:after="0" w:line="283" w:lineRule="auto"/>
              <w:jc w:val="left"/>
            </w:pPr>
            <w:proofErr w:type="spellStart"/>
            <w:r>
              <w:rPr>
                <w:rFonts w:eastAsia="Calibri"/>
                <w:sz w:val="19"/>
              </w:rPr>
              <w:t>Opérations</w:t>
            </w:r>
            <w:proofErr w:type="spellEnd"/>
            <w:r>
              <w:rPr>
                <w:rFonts w:eastAsia="Calibri"/>
                <w:sz w:val="19"/>
              </w:rPr>
              <w:t xml:space="preserve"> / </w:t>
            </w:r>
            <w:proofErr w:type="spellStart"/>
            <w:r>
              <w:rPr>
                <w:rFonts w:eastAsia="Calibri"/>
                <w:sz w:val="19"/>
              </w:rPr>
              <w:t>facilités</w:t>
            </w:r>
            <w:proofErr w:type="spellEnd"/>
          </w:p>
        </w:tc>
        <w:tc>
          <w:tcPr>
            <w:tcW w:w="3000" w:type="dxa"/>
            <w:shd w:val="clear" w:color="auto" w:fill="FAFBFC"/>
            <w:tcMar>
              <w:top w:w="80" w:type="dxa"/>
              <w:left w:w="120" w:type="dxa"/>
              <w:bottom w:w="80" w:type="dxa"/>
              <w:right w:w="120" w:type="dxa"/>
            </w:tcMar>
            <w:vAlign w:val="center"/>
          </w:tcPr>
          <w:p w14:paraId="256DF526" w14:textId="77777777" w:rsidR="00F86FAD" w:rsidRPr="00D72345" w:rsidRDefault="00000000">
            <w:pPr>
              <w:spacing w:after="0" w:line="283" w:lineRule="auto"/>
              <w:jc w:val="left"/>
              <w:rPr>
                <w:lang w:val="fr-FR"/>
              </w:rPr>
            </w:pPr>
            <w:r w:rsidRPr="00D72345">
              <w:rPr>
                <w:rFonts w:eastAsia="Calibri"/>
                <w:sz w:val="19"/>
                <w:lang w:val="fr-FR"/>
              </w:rPr>
              <w:t>Liquidité et mise en œuvre</w:t>
            </w:r>
          </w:p>
        </w:tc>
        <w:tc>
          <w:tcPr>
            <w:tcW w:w="4260" w:type="dxa"/>
            <w:shd w:val="clear" w:color="auto" w:fill="FAFBFC"/>
            <w:tcMar>
              <w:top w:w="80" w:type="dxa"/>
              <w:left w:w="120" w:type="dxa"/>
              <w:bottom w:w="80" w:type="dxa"/>
              <w:right w:w="120" w:type="dxa"/>
            </w:tcMar>
            <w:vAlign w:val="center"/>
          </w:tcPr>
          <w:p w14:paraId="06627AD1" w14:textId="77777777" w:rsidR="00F86FAD" w:rsidRPr="00D72345" w:rsidRDefault="00000000">
            <w:pPr>
              <w:spacing w:after="0" w:line="283" w:lineRule="auto"/>
              <w:jc w:val="left"/>
              <w:rPr>
                <w:lang w:val="fr-FR"/>
              </w:rPr>
            </w:pPr>
            <w:r w:rsidRPr="00D72345">
              <w:rPr>
                <w:rFonts w:eastAsia="Calibri"/>
                <w:sz w:val="19"/>
                <w:lang w:val="fr-FR"/>
              </w:rPr>
              <w:t>Chaque jour et lors de tensions</w:t>
            </w:r>
          </w:p>
        </w:tc>
      </w:tr>
      <w:tr w:rsidR="00F86FAD" w:rsidRPr="00D72345" w14:paraId="53F52206" w14:textId="77777777">
        <w:trPr>
          <w:cantSplit/>
        </w:trPr>
        <w:tc>
          <w:tcPr>
            <w:tcW w:w="2100" w:type="dxa"/>
            <w:tcMar>
              <w:top w:w="80" w:type="dxa"/>
              <w:left w:w="120" w:type="dxa"/>
              <w:bottom w:w="80" w:type="dxa"/>
              <w:right w:w="120" w:type="dxa"/>
            </w:tcMar>
            <w:vAlign w:val="center"/>
          </w:tcPr>
          <w:p w14:paraId="3DAF5972" w14:textId="77777777" w:rsidR="00F86FAD" w:rsidRDefault="00000000">
            <w:pPr>
              <w:spacing w:after="0" w:line="283" w:lineRule="auto"/>
              <w:jc w:val="left"/>
            </w:pPr>
            <w:r>
              <w:rPr>
                <w:rFonts w:eastAsia="Calibri"/>
                <w:sz w:val="19"/>
              </w:rPr>
              <w:t>QE / QT</w:t>
            </w:r>
          </w:p>
        </w:tc>
        <w:tc>
          <w:tcPr>
            <w:tcW w:w="3000" w:type="dxa"/>
            <w:tcMar>
              <w:top w:w="80" w:type="dxa"/>
              <w:left w:w="120" w:type="dxa"/>
              <w:bottom w:w="80" w:type="dxa"/>
              <w:right w:w="120" w:type="dxa"/>
            </w:tcMar>
            <w:vAlign w:val="center"/>
          </w:tcPr>
          <w:p w14:paraId="0B075291" w14:textId="77777777" w:rsidR="00F86FAD" w:rsidRPr="00D72345" w:rsidRDefault="00000000">
            <w:pPr>
              <w:spacing w:after="0" w:line="283" w:lineRule="auto"/>
              <w:jc w:val="left"/>
              <w:rPr>
                <w:lang w:val="fr-FR"/>
              </w:rPr>
            </w:pPr>
            <w:r w:rsidRPr="00D72345">
              <w:rPr>
                <w:rFonts w:eastAsia="Calibri"/>
                <w:sz w:val="19"/>
                <w:lang w:val="fr-FR"/>
              </w:rPr>
              <w:t>Rendements longs, primes et bilan</w:t>
            </w:r>
          </w:p>
        </w:tc>
        <w:tc>
          <w:tcPr>
            <w:tcW w:w="4260" w:type="dxa"/>
            <w:tcMar>
              <w:top w:w="80" w:type="dxa"/>
              <w:left w:w="120" w:type="dxa"/>
              <w:bottom w:w="80" w:type="dxa"/>
              <w:right w:w="120" w:type="dxa"/>
            </w:tcMar>
            <w:vAlign w:val="center"/>
          </w:tcPr>
          <w:p w14:paraId="32F74A96" w14:textId="77777777" w:rsidR="00F86FAD" w:rsidRPr="00D72345" w:rsidRDefault="00000000">
            <w:pPr>
              <w:spacing w:after="0" w:line="283" w:lineRule="auto"/>
              <w:jc w:val="left"/>
              <w:rPr>
                <w:lang w:val="fr-FR"/>
              </w:rPr>
            </w:pPr>
            <w:r w:rsidRPr="00D72345">
              <w:rPr>
                <w:rFonts w:eastAsia="Calibri"/>
                <w:sz w:val="19"/>
                <w:lang w:val="fr-FR"/>
              </w:rPr>
              <w:t>Taux très bas, crise ou normalisation</w:t>
            </w:r>
          </w:p>
        </w:tc>
      </w:tr>
      <w:tr w:rsidR="00F86FAD" w:rsidRPr="00D72345" w14:paraId="3D439FD6" w14:textId="77777777">
        <w:trPr>
          <w:cantSplit/>
        </w:trPr>
        <w:tc>
          <w:tcPr>
            <w:tcW w:w="2100" w:type="dxa"/>
            <w:shd w:val="clear" w:color="auto" w:fill="FAFBFC"/>
            <w:tcMar>
              <w:top w:w="80" w:type="dxa"/>
              <w:left w:w="120" w:type="dxa"/>
              <w:bottom w:w="80" w:type="dxa"/>
              <w:right w:w="120" w:type="dxa"/>
            </w:tcMar>
            <w:vAlign w:val="center"/>
          </w:tcPr>
          <w:p w14:paraId="7E272F98" w14:textId="77777777" w:rsidR="00F86FAD" w:rsidRDefault="00000000">
            <w:pPr>
              <w:spacing w:after="0" w:line="283" w:lineRule="auto"/>
              <w:jc w:val="left"/>
            </w:pPr>
            <w:r>
              <w:rPr>
                <w:rFonts w:eastAsia="Calibri"/>
                <w:sz w:val="19"/>
              </w:rPr>
              <w:t>Forward guidance</w:t>
            </w:r>
          </w:p>
        </w:tc>
        <w:tc>
          <w:tcPr>
            <w:tcW w:w="3000" w:type="dxa"/>
            <w:shd w:val="clear" w:color="auto" w:fill="FAFBFC"/>
            <w:tcMar>
              <w:top w:w="80" w:type="dxa"/>
              <w:left w:w="120" w:type="dxa"/>
              <w:bottom w:w="80" w:type="dxa"/>
              <w:right w:w="120" w:type="dxa"/>
            </w:tcMar>
            <w:vAlign w:val="center"/>
          </w:tcPr>
          <w:p w14:paraId="4059DE3E" w14:textId="77777777" w:rsidR="00F86FAD" w:rsidRDefault="00000000">
            <w:pPr>
              <w:spacing w:after="0" w:line="283" w:lineRule="auto"/>
              <w:jc w:val="left"/>
            </w:pPr>
            <w:r>
              <w:rPr>
                <w:rFonts w:eastAsia="Calibri"/>
                <w:sz w:val="19"/>
              </w:rPr>
              <w:t>Anticipations de taux</w:t>
            </w:r>
          </w:p>
        </w:tc>
        <w:tc>
          <w:tcPr>
            <w:tcW w:w="4260" w:type="dxa"/>
            <w:shd w:val="clear" w:color="auto" w:fill="FAFBFC"/>
            <w:tcMar>
              <w:top w:w="80" w:type="dxa"/>
              <w:left w:w="120" w:type="dxa"/>
              <w:bottom w:w="80" w:type="dxa"/>
              <w:right w:w="120" w:type="dxa"/>
            </w:tcMar>
            <w:vAlign w:val="center"/>
          </w:tcPr>
          <w:p w14:paraId="52AFCC76" w14:textId="77777777" w:rsidR="00F86FAD" w:rsidRPr="00D72345" w:rsidRDefault="00000000">
            <w:pPr>
              <w:spacing w:after="0" w:line="283" w:lineRule="auto"/>
              <w:jc w:val="left"/>
              <w:rPr>
                <w:lang w:val="fr-FR"/>
              </w:rPr>
            </w:pPr>
            <w:r w:rsidRPr="00D72345">
              <w:rPr>
                <w:rFonts w:eastAsia="Calibri"/>
                <w:sz w:val="19"/>
                <w:lang w:val="fr-FR"/>
              </w:rPr>
              <w:t>Quand le chemin futur compte autant que la décision actuelle</w:t>
            </w:r>
          </w:p>
        </w:tc>
      </w:tr>
      <w:tr w:rsidR="00F86FAD" w:rsidRPr="00D72345" w14:paraId="161BEA7C" w14:textId="77777777">
        <w:trPr>
          <w:cantSplit/>
        </w:trPr>
        <w:tc>
          <w:tcPr>
            <w:tcW w:w="2100" w:type="dxa"/>
            <w:tcMar>
              <w:top w:w="80" w:type="dxa"/>
              <w:left w:w="120" w:type="dxa"/>
              <w:bottom w:w="80" w:type="dxa"/>
              <w:right w:w="120" w:type="dxa"/>
            </w:tcMar>
            <w:vAlign w:val="center"/>
          </w:tcPr>
          <w:p w14:paraId="6657ADD4" w14:textId="77777777" w:rsidR="00F86FAD" w:rsidRDefault="00000000">
            <w:pPr>
              <w:spacing w:after="0" w:line="283" w:lineRule="auto"/>
              <w:jc w:val="left"/>
            </w:pPr>
            <w:r>
              <w:rPr>
                <w:rFonts w:eastAsia="Calibri"/>
                <w:sz w:val="19"/>
              </w:rPr>
              <w:t>YCC</w:t>
            </w:r>
          </w:p>
        </w:tc>
        <w:tc>
          <w:tcPr>
            <w:tcW w:w="3000" w:type="dxa"/>
            <w:tcMar>
              <w:top w:w="80" w:type="dxa"/>
              <w:left w:w="120" w:type="dxa"/>
              <w:bottom w:w="80" w:type="dxa"/>
              <w:right w:w="120" w:type="dxa"/>
            </w:tcMar>
            <w:vAlign w:val="center"/>
          </w:tcPr>
          <w:p w14:paraId="4CB49D18" w14:textId="77777777" w:rsidR="00F86FAD" w:rsidRDefault="00000000">
            <w:pPr>
              <w:spacing w:after="0" w:line="283" w:lineRule="auto"/>
              <w:jc w:val="left"/>
            </w:pPr>
            <w:r>
              <w:rPr>
                <w:rFonts w:eastAsia="Calibri"/>
                <w:sz w:val="19"/>
              </w:rPr>
              <w:t>Rendement d'une maturité</w:t>
            </w:r>
          </w:p>
        </w:tc>
        <w:tc>
          <w:tcPr>
            <w:tcW w:w="4260" w:type="dxa"/>
            <w:tcMar>
              <w:top w:w="80" w:type="dxa"/>
              <w:left w:w="120" w:type="dxa"/>
              <w:bottom w:w="80" w:type="dxa"/>
              <w:right w:w="120" w:type="dxa"/>
            </w:tcMar>
            <w:vAlign w:val="center"/>
          </w:tcPr>
          <w:p w14:paraId="47FB7DF5" w14:textId="77777777" w:rsidR="00F86FAD" w:rsidRPr="00D72345" w:rsidRDefault="00000000">
            <w:pPr>
              <w:spacing w:after="0" w:line="283" w:lineRule="auto"/>
              <w:jc w:val="left"/>
              <w:rPr>
                <w:lang w:val="fr-FR"/>
              </w:rPr>
            </w:pPr>
            <w:r w:rsidRPr="00D72345">
              <w:rPr>
                <w:rFonts w:eastAsia="Calibri"/>
                <w:sz w:val="19"/>
                <w:lang w:val="fr-FR"/>
              </w:rPr>
              <w:t>Quand la banque veut plafonner ou guider un segment de courbe</w:t>
            </w:r>
          </w:p>
        </w:tc>
      </w:tr>
      <w:tr w:rsidR="00F86FAD" w:rsidRPr="00D72345" w14:paraId="06E4B967" w14:textId="77777777">
        <w:trPr>
          <w:cantSplit/>
        </w:trPr>
        <w:tc>
          <w:tcPr>
            <w:tcW w:w="2100" w:type="dxa"/>
            <w:shd w:val="clear" w:color="auto" w:fill="FAFBFC"/>
            <w:tcMar>
              <w:top w:w="80" w:type="dxa"/>
              <w:left w:w="120" w:type="dxa"/>
              <w:bottom w:w="80" w:type="dxa"/>
              <w:right w:w="120" w:type="dxa"/>
            </w:tcMar>
            <w:vAlign w:val="center"/>
          </w:tcPr>
          <w:p w14:paraId="47FF5FA7" w14:textId="77777777" w:rsidR="00F86FAD" w:rsidRDefault="00000000">
            <w:pPr>
              <w:spacing w:after="0" w:line="283" w:lineRule="auto"/>
              <w:jc w:val="left"/>
            </w:pPr>
            <w:proofErr w:type="spellStart"/>
            <w:r>
              <w:rPr>
                <w:rFonts w:eastAsia="Calibri"/>
                <w:sz w:val="19"/>
              </w:rPr>
              <w:t>Prêts</w:t>
            </w:r>
            <w:proofErr w:type="spellEnd"/>
            <w:r>
              <w:rPr>
                <w:rFonts w:eastAsia="Calibri"/>
                <w:sz w:val="19"/>
              </w:rPr>
              <w:t xml:space="preserve"> </w:t>
            </w:r>
            <w:proofErr w:type="spellStart"/>
            <w:r>
              <w:rPr>
                <w:rFonts w:eastAsia="Calibri"/>
                <w:sz w:val="19"/>
              </w:rPr>
              <w:t>d'urgence</w:t>
            </w:r>
            <w:proofErr w:type="spellEnd"/>
          </w:p>
        </w:tc>
        <w:tc>
          <w:tcPr>
            <w:tcW w:w="3000" w:type="dxa"/>
            <w:shd w:val="clear" w:color="auto" w:fill="FAFBFC"/>
            <w:tcMar>
              <w:top w:w="80" w:type="dxa"/>
              <w:left w:w="120" w:type="dxa"/>
              <w:bottom w:w="80" w:type="dxa"/>
              <w:right w:w="120" w:type="dxa"/>
            </w:tcMar>
            <w:vAlign w:val="center"/>
          </w:tcPr>
          <w:p w14:paraId="2B0563E2" w14:textId="77777777" w:rsidR="00F86FAD" w:rsidRDefault="00000000">
            <w:pPr>
              <w:spacing w:after="0" w:line="283" w:lineRule="auto"/>
              <w:jc w:val="left"/>
            </w:pPr>
            <w:r>
              <w:rPr>
                <w:rFonts w:eastAsia="Calibri"/>
                <w:sz w:val="19"/>
              </w:rPr>
              <w:t>Liquidité du système</w:t>
            </w:r>
          </w:p>
        </w:tc>
        <w:tc>
          <w:tcPr>
            <w:tcW w:w="4260" w:type="dxa"/>
            <w:shd w:val="clear" w:color="auto" w:fill="FAFBFC"/>
            <w:tcMar>
              <w:top w:w="80" w:type="dxa"/>
              <w:left w:w="120" w:type="dxa"/>
              <w:bottom w:w="80" w:type="dxa"/>
              <w:right w:w="120" w:type="dxa"/>
            </w:tcMar>
            <w:vAlign w:val="center"/>
          </w:tcPr>
          <w:p w14:paraId="08D5A341" w14:textId="77777777" w:rsidR="00F86FAD" w:rsidRPr="00D72345" w:rsidRDefault="00000000">
            <w:pPr>
              <w:spacing w:after="0" w:line="283" w:lineRule="auto"/>
              <w:jc w:val="left"/>
              <w:rPr>
                <w:lang w:val="fr-FR"/>
              </w:rPr>
            </w:pPr>
            <w:r w:rsidRPr="00D72345">
              <w:rPr>
                <w:rFonts w:eastAsia="Calibri"/>
                <w:sz w:val="19"/>
                <w:lang w:val="fr-FR"/>
              </w:rPr>
              <w:t>Crise bancaire ou blocage des marchés</w:t>
            </w:r>
          </w:p>
        </w:tc>
      </w:tr>
    </w:tbl>
    <w:p w14:paraId="0FA94E28" w14:textId="77777777" w:rsidR="00F86FAD" w:rsidRPr="00D72345" w:rsidRDefault="00F86FAD">
      <w:pPr>
        <w:spacing w:after="100"/>
        <w:rPr>
          <w:lang w:val="fr-FR"/>
        </w:rPr>
      </w:pPr>
    </w:p>
    <w:p w14:paraId="34C7DAE4" w14:textId="77777777" w:rsidR="00F86FAD" w:rsidRPr="00D72345" w:rsidRDefault="00000000">
      <w:pPr>
        <w:pStyle w:val="Titre1"/>
        <w:keepNext/>
        <w:spacing w:after="140"/>
        <w:rPr>
          <w:lang w:val="fr-FR"/>
        </w:rPr>
      </w:pPr>
      <w:r>
        <w:rPr>
          <w:rFonts w:eastAsia="Calibri"/>
          <w:b/>
          <w:color w:val="0B2545"/>
          <w:sz w:val="48"/>
          <w:lang w:val="fr-FR"/>
        </w:rPr>
        <w:t>4. La transmission vers l'économie</w:t>
      </w:r>
    </w:p>
    <w:p w14:paraId="722520C9" w14:textId="77777777" w:rsidR="00F86FAD" w:rsidRPr="00D72345" w:rsidRDefault="00000000">
      <w:pPr>
        <w:spacing w:after="320"/>
        <w:rPr>
          <w:lang w:val="fr-FR"/>
        </w:rPr>
      </w:pPr>
      <w:r w:rsidRPr="00D72345">
        <w:rPr>
          <w:rFonts w:eastAsia="Calibri"/>
          <w:i/>
          <w:color w:val="1F4D78"/>
          <w:sz w:val="26"/>
          <w:lang w:val="fr-FR"/>
        </w:rPr>
        <w:t>Une décision immédiate, des effets progressifs et incertains.</w:t>
      </w:r>
    </w:p>
    <w:p w14:paraId="1567B58F" w14:textId="77777777" w:rsidR="00F86FAD" w:rsidRDefault="00000000">
      <w:pPr>
        <w:keepNext/>
        <w:spacing w:before="120" w:after="80"/>
        <w:jc w:val="center"/>
      </w:pPr>
      <w:r>
        <w:rPr>
          <w:noProof/>
        </w:rPr>
        <w:drawing>
          <wp:inline distT="0" distB="0" distL="0" distR="0" wp14:anchorId="32FE918A" wp14:editId="6B221905">
            <wp:extent cx="5303520" cy="4843882"/>
            <wp:effectExtent l="0" t="0" r="0" b="0"/>
            <wp:docPr id="1" name="Picture 1" descr="Diagramme en six étapes reliant décision de banque centrale, taux de marché, conditions financières, dépense, activité et inflation." title="Figure 1 — Chaîne simplifiée de transmission de la politique moné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_banque_centrale.png"/>
                    <pic:cNvPicPr/>
                  </pic:nvPicPr>
                  <pic:blipFill>
                    <a:blip r:embed="rId18"/>
                    <a:stretch>
                      <a:fillRect/>
                    </a:stretch>
                  </pic:blipFill>
                  <pic:spPr>
                    <a:xfrm>
                      <a:off x="0" y="0"/>
                      <a:ext cx="5303520" cy="4843882"/>
                    </a:xfrm>
                    <a:prstGeom prst="rect">
                      <a:avLst/>
                    </a:prstGeom>
                  </pic:spPr>
                </pic:pic>
              </a:graphicData>
            </a:graphic>
          </wp:inline>
        </w:drawing>
      </w:r>
    </w:p>
    <w:p w14:paraId="46ACF036" w14:textId="77777777" w:rsidR="00F86FAD" w:rsidRPr="00D72345" w:rsidRDefault="00000000">
      <w:pPr>
        <w:keepNext/>
        <w:spacing w:after="0"/>
        <w:jc w:val="center"/>
        <w:rPr>
          <w:lang w:val="fr-FR"/>
        </w:rPr>
      </w:pPr>
      <w:r w:rsidRPr="00D72345">
        <w:rPr>
          <w:rFonts w:eastAsia="Calibri"/>
          <w:b/>
          <w:sz w:val="19"/>
          <w:lang w:val="fr-FR"/>
        </w:rPr>
        <w:t>Figure 1 — Chaîne simplifiée de transmission de la politique monétaire.</w:t>
      </w:r>
    </w:p>
    <w:p w14:paraId="73882979"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19">
        <w:r w:rsidRPr="00D72345">
          <w:rPr>
            <w:color w:val="2E74B5"/>
            <w:u w:val="single"/>
            <w:lang w:val="fr-FR"/>
          </w:rPr>
          <w:t>BCE — Mécanisme de transmission de la politique monétaire</w:t>
        </w:r>
      </w:hyperlink>
    </w:p>
    <w:p w14:paraId="49ABE956" w14:textId="77777777" w:rsidR="00F86FAD" w:rsidRPr="00D72345" w:rsidRDefault="00000000">
      <w:pPr>
        <w:pStyle w:val="Titre2"/>
        <w:rPr>
          <w:lang w:val="fr-FR"/>
        </w:rPr>
      </w:pPr>
      <w:r w:rsidRPr="00D72345">
        <w:rPr>
          <w:lang w:val="fr-FR"/>
        </w:rPr>
        <w:t>4.1 Canal des taux d'intérêt</w:t>
      </w:r>
    </w:p>
    <w:p w14:paraId="6323751C" w14:textId="77777777" w:rsidR="00F86FAD" w:rsidRPr="00D72345" w:rsidRDefault="00000000">
      <w:pPr>
        <w:rPr>
          <w:lang w:val="fr-FR"/>
        </w:rPr>
      </w:pPr>
      <w:r w:rsidRPr="00D72345">
        <w:rPr>
          <w:rFonts w:eastAsia="Calibri"/>
          <w:lang w:val="fr-FR"/>
        </w:rPr>
        <w:t xml:space="preserve">Une hausse du taux directeur se transmet d'abord aux taux courts, puis aux obligations, prêts et dépôts selon leur durée et leur structure. Un crédit plus coûteux réduit certains achats à crédit et rend des investissements moins rentables. </w:t>
      </w:r>
      <w:proofErr w:type="gramStart"/>
      <w:r w:rsidRPr="00D72345">
        <w:rPr>
          <w:rFonts w:eastAsia="Calibri"/>
          <w:lang w:val="fr-FR"/>
        </w:rPr>
        <w:t>Une baisse produit</w:t>
      </w:r>
      <w:proofErr w:type="gramEnd"/>
      <w:r w:rsidRPr="00D72345">
        <w:rPr>
          <w:rFonts w:eastAsia="Calibri"/>
          <w:lang w:val="fr-FR"/>
        </w:rPr>
        <w:t xml:space="preserve"> généralement l'effet inverse.</w:t>
      </w:r>
    </w:p>
    <w:p w14:paraId="6250B073" w14:textId="77777777" w:rsidR="00F86FAD" w:rsidRPr="00D72345" w:rsidRDefault="00000000">
      <w:pPr>
        <w:pStyle w:val="Titre2"/>
        <w:rPr>
          <w:lang w:val="fr-FR"/>
        </w:rPr>
      </w:pPr>
      <w:r w:rsidRPr="00D72345">
        <w:rPr>
          <w:lang w:val="fr-FR"/>
        </w:rPr>
        <w:t>4.2 Canal du crédit bancaire</w:t>
      </w:r>
    </w:p>
    <w:p w14:paraId="4C8E2097" w14:textId="77777777" w:rsidR="00F86FAD" w:rsidRPr="00D72345" w:rsidRDefault="00000000">
      <w:pPr>
        <w:rPr>
          <w:lang w:val="fr-FR"/>
        </w:rPr>
      </w:pPr>
      <w:r w:rsidRPr="00D72345">
        <w:rPr>
          <w:rFonts w:eastAsia="Calibri"/>
          <w:lang w:val="fr-FR"/>
        </w:rPr>
        <w:t>Les banques ne changent pas seulement leurs taux : elles peuvent aussi durcir leurs critères, demander davantage de garanties ou réduire les montants accordés. Deux économies ayant le même taux directeur peuvent donc connaître une transmission différente selon la santé de leurs banques et la part du financement bancaire.</w:t>
      </w:r>
    </w:p>
    <w:p w14:paraId="03852184" w14:textId="77777777" w:rsidR="00F86FAD" w:rsidRPr="00D72345" w:rsidRDefault="00000000">
      <w:pPr>
        <w:pStyle w:val="Titre2"/>
        <w:rPr>
          <w:lang w:val="fr-FR"/>
        </w:rPr>
      </w:pPr>
      <w:r w:rsidRPr="00D72345">
        <w:rPr>
          <w:lang w:val="fr-FR"/>
        </w:rPr>
        <w:t>4.3 Canal du prix des actifs et des garanties</w:t>
      </w:r>
    </w:p>
    <w:p w14:paraId="25638492" w14:textId="77777777" w:rsidR="00F86FAD" w:rsidRPr="00D72345" w:rsidRDefault="00000000">
      <w:pPr>
        <w:rPr>
          <w:lang w:val="fr-FR"/>
        </w:rPr>
      </w:pPr>
      <w:r w:rsidRPr="00D72345">
        <w:rPr>
          <w:rFonts w:eastAsia="Calibri"/>
          <w:lang w:val="fr-FR"/>
        </w:rPr>
        <w:t>Des taux plus bas peuvent augmenter la valeur actuelle des revenus futurs, soutenir les obligations et les actions, et relever la valeur des garanties immobilières ou financières. Cela facilite parfois l'emprunt et augmente la confiance. Des taux plus élevés peuvent inverser ce mécanisme.</w:t>
      </w:r>
    </w:p>
    <w:p w14:paraId="75E190AE" w14:textId="77777777" w:rsidR="00F86FAD" w:rsidRPr="00D72345" w:rsidRDefault="00000000">
      <w:pPr>
        <w:pStyle w:val="Titre2"/>
        <w:rPr>
          <w:lang w:val="fr-FR"/>
        </w:rPr>
      </w:pPr>
      <w:r w:rsidRPr="00D72345">
        <w:rPr>
          <w:lang w:val="fr-FR"/>
        </w:rPr>
        <w:t>4.4 Canal du taux de change</w:t>
      </w:r>
    </w:p>
    <w:p w14:paraId="69785387" w14:textId="77777777" w:rsidR="00F86FAD" w:rsidRPr="00D72345" w:rsidRDefault="00000000">
      <w:pPr>
        <w:rPr>
          <w:lang w:val="fr-FR"/>
        </w:rPr>
      </w:pPr>
      <w:r w:rsidRPr="00D72345">
        <w:rPr>
          <w:rFonts w:eastAsia="Calibri"/>
          <w:lang w:val="fr-FR"/>
        </w:rPr>
        <w:t>Si les rendements d'un pays deviennent plus attractifs par rapport à ceux des autres, sa monnaie peut se renforcer. Cela réduit le prix des importations mais pénalise parfois les exportateurs. Une monnaie plus faible renchérit les importations et peut nourrir l'inflation, surtout dans les économies dépendantes de l'énergie ou des biens étrangers.</w:t>
      </w:r>
    </w:p>
    <w:p w14:paraId="482946AC" w14:textId="77777777" w:rsidR="00F86FAD" w:rsidRPr="00D72345" w:rsidRDefault="00000000">
      <w:pPr>
        <w:pStyle w:val="Titre2"/>
        <w:rPr>
          <w:lang w:val="fr-FR"/>
        </w:rPr>
      </w:pPr>
      <w:r w:rsidRPr="00D72345">
        <w:rPr>
          <w:lang w:val="fr-FR"/>
        </w:rPr>
        <w:t>4.5 Canal des anticipations</w:t>
      </w:r>
    </w:p>
    <w:p w14:paraId="72890C26" w14:textId="77777777" w:rsidR="00F86FAD" w:rsidRPr="00D72345" w:rsidRDefault="00000000">
      <w:pPr>
        <w:rPr>
          <w:lang w:val="fr-FR"/>
        </w:rPr>
      </w:pPr>
      <w:r w:rsidRPr="00D72345">
        <w:rPr>
          <w:rFonts w:eastAsia="Calibri"/>
          <w:lang w:val="fr-FR"/>
        </w:rPr>
        <w:t>Les décisions de prix et de salaires dépendent de ce que chacun prévoit. Si une banque crédible convainc que l'inflation reviendra vers sa cible, elle limite les comportements qui entretiennent l'inflation. Si le message est confus ou peu crédible, les taux longs et les négociations salariales peuvent rester élevés malgré une décision officielle.</w:t>
      </w:r>
    </w:p>
    <w:p w14:paraId="0EA3FB94" w14:textId="77777777" w:rsidR="00F86FAD" w:rsidRDefault="00000000">
      <w:pPr>
        <w:pStyle w:val="Titre2"/>
      </w:pPr>
      <w:r>
        <w:t xml:space="preserve">4.6 </w:t>
      </w:r>
      <w:proofErr w:type="spellStart"/>
      <w:r>
        <w:t>Pourquoi</w:t>
      </w:r>
      <w:proofErr w:type="spellEnd"/>
      <w:r>
        <w:t xml:space="preserve"> </w:t>
      </w:r>
      <w:proofErr w:type="spellStart"/>
      <w:r>
        <w:t>l'effet</w:t>
      </w:r>
      <w:proofErr w:type="spellEnd"/>
      <w:r>
        <w:t xml:space="preserve"> est lent</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100"/>
        <w:gridCol w:w="2100"/>
        <w:gridCol w:w="5160"/>
      </w:tblGrid>
      <w:tr w:rsidR="00F86FAD" w14:paraId="2BE3E7D6" w14:textId="77777777">
        <w:trPr>
          <w:cantSplit/>
          <w:tblHeader/>
        </w:trPr>
        <w:tc>
          <w:tcPr>
            <w:tcW w:w="2100" w:type="dxa"/>
            <w:shd w:val="clear" w:color="auto" w:fill="F4F6F9"/>
            <w:tcMar>
              <w:top w:w="80" w:type="dxa"/>
              <w:left w:w="120" w:type="dxa"/>
              <w:bottom w:w="80" w:type="dxa"/>
              <w:right w:w="120" w:type="dxa"/>
            </w:tcMar>
            <w:vAlign w:val="center"/>
          </w:tcPr>
          <w:p w14:paraId="43F7144A" w14:textId="77777777" w:rsidR="00F86FAD" w:rsidRDefault="00000000">
            <w:pPr>
              <w:spacing w:after="0" w:line="283" w:lineRule="auto"/>
              <w:jc w:val="left"/>
            </w:pPr>
            <w:r>
              <w:rPr>
                <w:rFonts w:eastAsia="Calibri"/>
                <w:b/>
                <w:color w:val="0B2545"/>
                <w:sz w:val="19"/>
              </w:rPr>
              <w:t>Étape</w:t>
            </w:r>
          </w:p>
        </w:tc>
        <w:tc>
          <w:tcPr>
            <w:tcW w:w="2100" w:type="dxa"/>
            <w:shd w:val="clear" w:color="auto" w:fill="F4F6F9"/>
            <w:tcMar>
              <w:top w:w="80" w:type="dxa"/>
              <w:left w:w="120" w:type="dxa"/>
              <w:bottom w:w="80" w:type="dxa"/>
              <w:right w:w="120" w:type="dxa"/>
            </w:tcMar>
            <w:vAlign w:val="center"/>
          </w:tcPr>
          <w:p w14:paraId="78D22535" w14:textId="77777777" w:rsidR="00F86FAD" w:rsidRDefault="00000000">
            <w:pPr>
              <w:spacing w:after="0" w:line="283" w:lineRule="auto"/>
              <w:jc w:val="left"/>
            </w:pPr>
            <w:r>
              <w:rPr>
                <w:rFonts w:eastAsia="Calibri"/>
                <w:b/>
                <w:color w:val="0B2545"/>
                <w:sz w:val="19"/>
              </w:rPr>
              <w:t>Vitesse habituelle</w:t>
            </w:r>
          </w:p>
        </w:tc>
        <w:tc>
          <w:tcPr>
            <w:tcW w:w="5160" w:type="dxa"/>
            <w:shd w:val="clear" w:color="auto" w:fill="F4F6F9"/>
            <w:tcMar>
              <w:top w:w="80" w:type="dxa"/>
              <w:left w:w="120" w:type="dxa"/>
              <w:bottom w:w="80" w:type="dxa"/>
              <w:right w:w="120" w:type="dxa"/>
            </w:tcMar>
            <w:vAlign w:val="center"/>
          </w:tcPr>
          <w:p w14:paraId="30EA69A7" w14:textId="77777777" w:rsidR="00F86FAD" w:rsidRDefault="00000000">
            <w:pPr>
              <w:spacing w:after="0" w:line="283" w:lineRule="auto"/>
              <w:jc w:val="left"/>
            </w:pPr>
            <w:r>
              <w:rPr>
                <w:rFonts w:eastAsia="Calibri"/>
                <w:b/>
                <w:color w:val="0B2545"/>
                <w:sz w:val="19"/>
              </w:rPr>
              <w:t>Pourquoi</w:t>
            </w:r>
          </w:p>
        </w:tc>
      </w:tr>
      <w:tr w:rsidR="00F86FAD" w:rsidRPr="00D72345" w14:paraId="1426F5B6" w14:textId="77777777">
        <w:trPr>
          <w:cantSplit/>
        </w:trPr>
        <w:tc>
          <w:tcPr>
            <w:tcW w:w="2100" w:type="dxa"/>
            <w:tcMar>
              <w:top w:w="80" w:type="dxa"/>
              <w:left w:w="120" w:type="dxa"/>
              <w:bottom w:w="80" w:type="dxa"/>
              <w:right w:w="120" w:type="dxa"/>
            </w:tcMar>
            <w:vAlign w:val="center"/>
          </w:tcPr>
          <w:p w14:paraId="6141D11C" w14:textId="77777777" w:rsidR="00F86FAD" w:rsidRDefault="00000000">
            <w:pPr>
              <w:spacing w:after="0" w:line="283" w:lineRule="auto"/>
              <w:jc w:val="left"/>
            </w:pPr>
            <w:r>
              <w:rPr>
                <w:rFonts w:eastAsia="Calibri"/>
                <w:sz w:val="19"/>
              </w:rPr>
              <w:t>Marchés financiers</w:t>
            </w:r>
          </w:p>
        </w:tc>
        <w:tc>
          <w:tcPr>
            <w:tcW w:w="2100" w:type="dxa"/>
            <w:tcMar>
              <w:top w:w="80" w:type="dxa"/>
              <w:left w:w="120" w:type="dxa"/>
              <w:bottom w:w="80" w:type="dxa"/>
              <w:right w:w="120" w:type="dxa"/>
            </w:tcMar>
            <w:vAlign w:val="center"/>
          </w:tcPr>
          <w:p w14:paraId="35000D3E" w14:textId="77777777" w:rsidR="00F86FAD" w:rsidRDefault="00000000">
            <w:pPr>
              <w:spacing w:after="0" w:line="283" w:lineRule="auto"/>
              <w:jc w:val="left"/>
            </w:pPr>
            <w:r>
              <w:rPr>
                <w:rFonts w:eastAsia="Calibri"/>
                <w:sz w:val="19"/>
              </w:rPr>
              <w:t>Secondes à jours</w:t>
            </w:r>
          </w:p>
        </w:tc>
        <w:tc>
          <w:tcPr>
            <w:tcW w:w="5160" w:type="dxa"/>
            <w:tcMar>
              <w:top w:w="80" w:type="dxa"/>
              <w:left w:w="120" w:type="dxa"/>
              <w:bottom w:w="80" w:type="dxa"/>
              <w:right w:w="120" w:type="dxa"/>
            </w:tcMar>
            <w:vAlign w:val="center"/>
          </w:tcPr>
          <w:p w14:paraId="5E08D6D8" w14:textId="77777777" w:rsidR="00F86FAD" w:rsidRPr="00D72345" w:rsidRDefault="00000000">
            <w:pPr>
              <w:spacing w:after="0" w:line="283" w:lineRule="auto"/>
              <w:jc w:val="left"/>
              <w:rPr>
                <w:lang w:val="fr-FR"/>
              </w:rPr>
            </w:pPr>
            <w:r w:rsidRPr="00D72345">
              <w:rPr>
                <w:rFonts w:eastAsia="Calibri"/>
                <w:sz w:val="19"/>
                <w:lang w:val="fr-FR"/>
              </w:rPr>
              <w:t>Les prix intègrent immédiatement les nouvelles anticipations</w:t>
            </w:r>
          </w:p>
        </w:tc>
      </w:tr>
      <w:tr w:rsidR="00F86FAD" w:rsidRPr="00D72345" w14:paraId="6596733D" w14:textId="77777777">
        <w:trPr>
          <w:cantSplit/>
        </w:trPr>
        <w:tc>
          <w:tcPr>
            <w:tcW w:w="2100" w:type="dxa"/>
            <w:shd w:val="clear" w:color="auto" w:fill="FAFBFC"/>
            <w:tcMar>
              <w:top w:w="80" w:type="dxa"/>
              <w:left w:w="120" w:type="dxa"/>
              <w:bottom w:w="80" w:type="dxa"/>
              <w:right w:w="120" w:type="dxa"/>
            </w:tcMar>
            <w:vAlign w:val="center"/>
          </w:tcPr>
          <w:p w14:paraId="35AD0768" w14:textId="77777777" w:rsidR="00F86FAD" w:rsidRDefault="00000000">
            <w:pPr>
              <w:spacing w:after="0" w:line="283" w:lineRule="auto"/>
              <w:jc w:val="left"/>
            </w:pPr>
            <w:proofErr w:type="spellStart"/>
            <w:r>
              <w:rPr>
                <w:rFonts w:eastAsia="Calibri"/>
                <w:sz w:val="19"/>
              </w:rPr>
              <w:t>Taux</w:t>
            </w:r>
            <w:proofErr w:type="spellEnd"/>
            <w:r>
              <w:rPr>
                <w:rFonts w:eastAsia="Calibri"/>
                <w:sz w:val="19"/>
              </w:rPr>
              <w:t xml:space="preserve"> </w:t>
            </w:r>
            <w:proofErr w:type="spellStart"/>
            <w:r>
              <w:rPr>
                <w:rFonts w:eastAsia="Calibri"/>
                <w:sz w:val="19"/>
              </w:rPr>
              <w:t>bancaires</w:t>
            </w:r>
            <w:proofErr w:type="spellEnd"/>
          </w:p>
        </w:tc>
        <w:tc>
          <w:tcPr>
            <w:tcW w:w="2100" w:type="dxa"/>
            <w:shd w:val="clear" w:color="auto" w:fill="FAFBFC"/>
            <w:tcMar>
              <w:top w:w="80" w:type="dxa"/>
              <w:left w:w="120" w:type="dxa"/>
              <w:bottom w:w="80" w:type="dxa"/>
              <w:right w:w="120" w:type="dxa"/>
            </w:tcMar>
            <w:vAlign w:val="center"/>
          </w:tcPr>
          <w:p w14:paraId="4A01F4C7" w14:textId="77777777" w:rsidR="00F86FAD" w:rsidRDefault="00000000">
            <w:pPr>
              <w:spacing w:after="0" w:line="283" w:lineRule="auto"/>
              <w:jc w:val="left"/>
            </w:pPr>
            <w:r>
              <w:rPr>
                <w:rFonts w:eastAsia="Calibri"/>
                <w:sz w:val="19"/>
              </w:rPr>
              <w:t>Semaines à mois</w:t>
            </w:r>
          </w:p>
        </w:tc>
        <w:tc>
          <w:tcPr>
            <w:tcW w:w="5160" w:type="dxa"/>
            <w:shd w:val="clear" w:color="auto" w:fill="FAFBFC"/>
            <w:tcMar>
              <w:top w:w="80" w:type="dxa"/>
              <w:left w:w="120" w:type="dxa"/>
              <w:bottom w:w="80" w:type="dxa"/>
              <w:right w:w="120" w:type="dxa"/>
            </w:tcMar>
            <w:vAlign w:val="center"/>
          </w:tcPr>
          <w:p w14:paraId="48184185" w14:textId="77777777" w:rsidR="00F86FAD" w:rsidRPr="00D72345" w:rsidRDefault="00000000">
            <w:pPr>
              <w:spacing w:after="0" w:line="283" w:lineRule="auto"/>
              <w:jc w:val="left"/>
              <w:rPr>
                <w:lang w:val="fr-FR"/>
              </w:rPr>
            </w:pPr>
            <w:r w:rsidRPr="00D72345">
              <w:rPr>
                <w:rFonts w:eastAsia="Calibri"/>
                <w:sz w:val="19"/>
                <w:lang w:val="fr-FR"/>
              </w:rPr>
              <w:t>Contrats, concurrence et financement des banques s'ajustent progressivement</w:t>
            </w:r>
          </w:p>
        </w:tc>
      </w:tr>
      <w:tr w:rsidR="00F86FAD" w:rsidRPr="00D72345" w14:paraId="69EE25B9" w14:textId="77777777">
        <w:trPr>
          <w:cantSplit/>
        </w:trPr>
        <w:tc>
          <w:tcPr>
            <w:tcW w:w="2100" w:type="dxa"/>
            <w:tcMar>
              <w:top w:w="80" w:type="dxa"/>
              <w:left w:w="120" w:type="dxa"/>
              <w:bottom w:w="80" w:type="dxa"/>
              <w:right w:w="120" w:type="dxa"/>
            </w:tcMar>
            <w:vAlign w:val="center"/>
          </w:tcPr>
          <w:p w14:paraId="57CFE8E4" w14:textId="77777777" w:rsidR="00F86FAD" w:rsidRDefault="00000000">
            <w:pPr>
              <w:spacing w:after="0" w:line="283" w:lineRule="auto"/>
              <w:jc w:val="left"/>
            </w:pPr>
            <w:proofErr w:type="spellStart"/>
            <w:r>
              <w:rPr>
                <w:rFonts w:eastAsia="Calibri"/>
                <w:sz w:val="19"/>
              </w:rPr>
              <w:t>Consommation</w:t>
            </w:r>
            <w:proofErr w:type="spellEnd"/>
            <w:r>
              <w:rPr>
                <w:rFonts w:eastAsia="Calibri"/>
                <w:sz w:val="19"/>
              </w:rPr>
              <w:t xml:space="preserve"> et </w:t>
            </w:r>
            <w:proofErr w:type="spellStart"/>
            <w:r>
              <w:rPr>
                <w:rFonts w:eastAsia="Calibri"/>
                <w:sz w:val="19"/>
              </w:rPr>
              <w:t>investissement</w:t>
            </w:r>
            <w:proofErr w:type="spellEnd"/>
          </w:p>
        </w:tc>
        <w:tc>
          <w:tcPr>
            <w:tcW w:w="2100" w:type="dxa"/>
            <w:tcMar>
              <w:top w:w="80" w:type="dxa"/>
              <w:left w:w="120" w:type="dxa"/>
              <w:bottom w:w="80" w:type="dxa"/>
              <w:right w:w="120" w:type="dxa"/>
            </w:tcMar>
            <w:vAlign w:val="center"/>
          </w:tcPr>
          <w:p w14:paraId="5E2644B9" w14:textId="77777777" w:rsidR="00F86FAD" w:rsidRDefault="00000000">
            <w:pPr>
              <w:spacing w:after="0" w:line="283" w:lineRule="auto"/>
              <w:jc w:val="left"/>
            </w:pPr>
            <w:r>
              <w:rPr>
                <w:rFonts w:eastAsia="Calibri"/>
                <w:sz w:val="19"/>
              </w:rPr>
              <w:t>Mois à trimestres</w:t>
            </w:r>
          </w:p>
        </w:tc>
        <w:tc>
          <w:tcPr>
            <w:tcW w:w="5160" w:type="dxa"/>
            <w:tcMar>
              <w:top w:w="80" w:type="dxa"/>
              <w:left w:w="120" w:type="dxa"/>
              <w:bottom w:w="80" w:type="dxa"/>
              <w:right w:w="120" w:type="dxa"/>
            </w:tcMar>
            <w:vAlign w:val="center"/>
          </w:tcPr>
          <w:p w14:paraId="7D275B80" w14:textId="77777777" w:rsidR="00F86FAD" w:rsidRPr="00D72345" w:rsidRDefault="00000000">
            <w:pPr>
              <w:spacing w:after="0" w:line="283" w:lineRule="auto"/>
              <w:jc w:val="left"/>
              <w:rPr>
                <w:lang w:val="fr-FR"/>
              </w:rPr>
            </w:pPr>
            <w:r w:rsidRPr="00D72345">
              <w:rPr>
                <w:rFonts w:eastAsia="Calibri"/>
                <w:sz w:val="19"/>
                <w:lang w:val="fr-FR"/>
              </w:rPr>
              <w:t>Les ménages et entreprises révisent leurs projets</w:t>
            </w:r>
          </w:p>
        </w:tc>
      </w:tr>
      <w:tr w:rsidR="00F86FAD" w:rsidRPr="00D72345" w14:paraId="216CF485" w14:textId="77777777">
        <w:trPr>
          <w:cantSplit/>
        </w:trPr>
        <w:tc>
          <w:tcPr>
            <w:tcW w:w="2100" w:type="dxa"/>
            <w:shd w:val="clear" w:color="auto" w:fill="FAFBFC"/>
            <w:tcMar>
              <w:top w:w="80" w:type="dxa"/>
              <w:left w:w="120" w:type="dxa"/>
              <w:bottom w:w="80" w:type="dxa"/>
              <w:right w:w="120" w:type="dxa"/>
            </w:tcMar>
            <w:vAlign w:val="center"/>
          </w:tcPr>
          <w:p w14:paraId="702A1D85" w14:textId="77777777" w:rsidR="00F86FAD" w:rsidRDefault="00000000">
            <w:pPr>
              <w:spacing w:after="0" w:line="283" w:lineRule="auto"/>
              <w:jc w:val="left"/>
            </w:pPr>
            <w:proofErr w:type="spellStart"/>
            <w:r>
              <w:rPr>
                <w:rFonts w:eastAsia="Calibri"/>
                <w:sz w:val="19"/>
              </w:rPr>
              <w:t>Emploi</w:t>
            </w:r>
            <w:proofErr w:type="spellEnd"/>
            <w:r>
              <w:rPr>
                <w:rFonts w:eastAsia="Calibri"/>
                <w:sz w:val="19"/>
              </w:rPr>
              <w:t xml:space="preserve"> et </w:t>
            </w:r>
            <w:proofErr w:type="spellStart"/>
            <w:r>
              <w:rPr>
                <w:rFonts w:eastAsia="Calibri"/>
                <w:sz w:val="19"/>
              </w:rPr>
              <w:t>salaires</w:t>
            </w:r>
            <w:proofErr w:type="spellEnd"/>
          </w:p>
        </w:tc>
        <w:tc>
          <w:tcPr>
            <w:tcW w:w="2100" w:type="dxa"/>
            <w:shd w:val="clear" w:color="auto" w:fill="FAFBFC"/>
            <w:tcMar>
              <w:top w:w="80" w:type="dxa"/>
              <w:left w:w="120" w:type="dxa"/>
              <w:bottom w:w="80" w:type="dxa"/>
              <w:right w:w="120" w:type="dxa"/>
            </w:tcMar>
            <w:vAlign w:val="center"/>
          </w:tcPr>
          <w:p w14:paraId="1ABB6610" w14:textId="77777777" w:rsidR="00F86FAD" w:rsidRDefault="00000000">
            <w:pPr>
              <w:spacing w:after="0" w:line="283" w:lineRule="auto"/>
              <w:jc w:val="left"/>
            </w:pPr>
            <w:r>
              <w:rPr>
                <w:rFonts w:eastAsia="Calibri"/>
                <w:sz w:val="19"/>
              </w:rPr>
              <w:t>Plusieurs trimestres</w:t>
            </w:r>
          </w:p>
        </w:tc>
        <w:tc>
          <w:tcPr>
            <w:tcW w:w="5160" w:type="dxa"/>
            <w:shd w:val="clear" w:color="auto" w:fill="FAFBFC"/>
            <w:tcMar>
              <w:top w:w="80" w:type="dxa"/>
              <w:left w:w="120" w:type="dxa"/>
              <w:bottom w:w="80" w:type="dxa"/>
              <w:right w:w="120" w:type="dxa"/>
            </w:tcMar>
            <w:vAlign w:val="center"/>
          </w:tcPr>
          <w:p w14:paraId="22473946" w14:textId="77777777" w:rsidR="00F86FAD" w:rsidRPr="00D72345" w:rsidRDefault="00000000">
            <w:pPr>
              <w:spacing w:after="0" w:line="283" w:lineRule="auto"/>
              <w:jc w:val="left"/>
              <w:rPr>
                <w:lang w:val="fr-FR"/>
              </w:rPr>
            </w:pPr>
            <w:r w:rsidRPr="00D72345">
              <w:rPr>
                <w:rFonts w:eastAsia="Calibri"/>
                <w:sz w:val="19"/>
                <w:lang w:val="fr-FR"/>
              </w:rPr>
              <w:t>Les embauches et licenciements réagissent avec retard</w:t>
            </w:r>
          </w:p>
        </w:tc>
      </w:tr>
      <w:tr w:rsidR="00F86FAD" w:rsidRPr="00D72345" w14:paraId="3840660F" w14:textId="77777777">
        <w:trPr>
          <w:cantSplit/>
        </w:trPr>
        <w:tc>
          <w:tcPr>
            <w:tcW w:w="2100" w:type="dxa"/>
            <w:tcMar>
              <w:top w:w="80" w:type="dxa"/>
              <w:left w:w="120" w:type="dxa"/>
              <w:bottom w:w="80" w:type="dxa"/>
              <w:right w:w="120" w:type="dxa"/>
            </w:tcMar>
            <w:vAlign w:val="center"/>
          </w:tcPr>
          <w:p w14:paraId="6BED4DBB" w14:textId="77777777" w:rsidR="00F86FAD" w:rsidRDefault="00000000">
            <w:pPr>
              <w:spacing w:after="0" w:line="283" w:lineRule="auto"/>
              <w:jc w:val="left"/>
            </w:pPr>
            <w:r>
              <w:rPr>
                <w:rFonts w:eastAsia="Calibri"/>
                <w:sz w:val="19"/>
              </w:rPr>
              <w:t>Inflation</w:t>
            </w:r>
          </w:p>
        </w:tc>
        <w:tc>
          <w:tcPr>
            <w:tcW w:w="2100" w:type="dxa"/>
            <w:tcMar>
              <w:top w:w="80" w:type="dxa"/>
              <w:left w:w="120" w:type="dxa"/>
              <w:bottom w:w="80" w:type="dxa"/>
              <w:right w:w="120" w:type="dxa"/>
            </w:tcMar>
            <w:vAlign w:val="center"/>
          </w:tcPr>
          <w:p w14:paraId="09CC00B7" w14:textId="77777777" w:rsidR="00F86FAD" w:rsidRDefault="00000000">
            <w:pPr>
              <w:spacing w:after="0" w:line="283" w:lineRule="auto"/>
              <w:jc w:val="left"/>
            </w:pPr>
            <w:r>
              <w:rPr>
                <w:rFonts w:eastAsia="Calibri"/>
                <w:sz w:val="19"/>
              </w:rPr>
              <w:t>Variable et incertain</w:t>
            </w:r>
          </w:p>
        </w:tc>
        <w:tc>
          <w:tcPr>
            <w:tcW w:w="5160" w:type="dxa"/>
            <w:tcMar>
              <w:top w:w="80" w:type="dxa"/>
              <w:left w:w="120" w:type="dxa"/>
              <w:bottom w:w="80" w:type="dxa"/>
              <w:right w:w="120" w:type="dxa"/>
            </w:tcMar>
            <w:vAlign w:val="center"/>
          </w:tcPr>
          <w:p w14:paraId="724410AB" w14:textId="77777777" w:rsidR="00F86FAD" w:rsidRPr="00D72345" w:rsidRDefault="00000000">
            <w:pPr>
              <w:spacing w:after="0" w:line="283" w:lineRule="auto"/>
              <w:jc w:val="left"/>
              <w:rPr>
                <w:lang w:val="fr-FR"/>
              </w:rPr>
            </w:pPr>
            <w:r w:rsidRPr="00D72345">
              <w:rPr>
                <w:rFonts w:eastAsia="Calibri"/>
                <w:sz w:val="19"/>
                <w:lang w:val="fr-FR"/>
              </w:rPr>
              <w:t>Les loyers, salaires, contrats et chaînes de prix se renouvellent lentement</w:t>
            </w:r>
          </w:p>
        </w:tc>
      </w:tr>
    </w:tbl>
    <w:p w14:paraId="199823B2" w14:textId="77777777" w:rsidR="00F86FAD" w:rsidRPr="00D72345" w:rsidRDefault="00F86FAD">
      <w:pPr>
        <w:spacing w:after="100"/>
        <w:rPr>
          <w:lang w:val="fr-FR"/>
        </w:rPr>
      </w:pPr>
    </w:p>
    <w:p w14:paraId="7C9E19C2" w14:textId="77777777" w:rsidR="00F86FAD" w:rsidRPr="00D72345" w:rsidRDefault="00000000">
      <w:pPr>
        <w:keepLines/>
        <w:pBdr>
          <w:left w:val="single" w:sz="18" w:space="8" w:color="A61B1B"/>
        </w:pBdr>
        <w:shd w:val="clear" w:color="auto" w:fill="FCEDED"/>
        <w:spacing w:before="100" w:after="200" w:line="288" w:lineRule="auto"/>
        <w:ind w:left="173" w:right="115"/>
        <w:rPr>
          <w:lang w:val="fr-FR"/>
        </w:rPr>
      </w:pPr>
      <w:r w:rsidRPr="00D72345">
        <w:rPr>
          <w:rFonts w:eastAsia="Calibri"/>
          <w:b/>
          <w:color w:val="A61B1B"/>
          <w:sz w:val="20"/>
          <w:lang w:val="fr-FR"/>
        </w:rPr>
        <w:t xml:space="preserve">LIMITE </w:t>
      </w:r>
      <w:proofErr w:type="gramStart"/>
      <w:r w:rsidRPr="00D72345">
        <w:rPr>
          <w:rFonts w:eastAsia="Calibri"/>
          <w:b/>
          <w:color w:val="A61B1B"/>
          <w:sz w:val="20"/>
          <w:lang w:val="fr-FR"/>
        </w:rPr>
        <w:t xml:space="preserve">FONDAMENTALE  </w:t>
      </w:r>
      <w:r w:rsidRPr="00D72345">
        <w:rPr>
          <w:rFonts w:eastAsia="Calibri"/>
          <w:sz w:val="21"/>
          <w:lang w:val="fr-FR"/>
        </w:rPr>
        <w:t>La</w:t>
      </w:r>
      <w:proofErr w:type="gramEnd"/>
      <w:r w:rsidRPr="00D72345">
        <w:rPr>
          <w:rFonts w:eastAsia="Calibri"/>
          <w:sz w:val="21"/>
          <w:lang w:val="fr-FR"/>
        </w:rPr>
        <w:t xml:space="preserve"> banque centrale peut refroidir la demande, mais elle ne produit pas de pétrole, ne débloque pas un port et ne construit pas immédiatement des logements. Face à un choc d'offre, elle limite surtout les effets persistants et les anticipations.</w:t>
      </w:r>
    </w:p>
    <w:p w14:paraId="584F2D39"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20">
        <w:r w:rsidRPr="00D72345">
          <w:rPr>
            <w:color w:val="2E74B5"/>
            <w:u w:val="single"/>
            <w:lang w:val="fr-FR"/>
          </w:rPr>
          <w:t>BCE — Mécanisme de transmission de la politique monétaire</w:t>
        </w:r>
      </w:hyperlink>
    </w:p>
    <w:p w14:paraId="7086C663" w14:textId="77777777" w:rsidR="00F86FAD" w:rsidRDefault="00000000">
      <w:pPr>
        <w:pStyle w:val="Titre2"/>
      </w:pPr>
      <w:r>
        <w:t>4.7 Politique accommodante, restrictive ou neutre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1700"/>
        <w:gridCol w:w="2550"/>
        <w:gridCol w:w="3300"/>
        <w:gridCol w:w="1810"/>
      </w:tblGrid>
      <w:tr w:rsidR="00F86FAD" w14:paraId="2BDD8077" w14:textId="77777777">
        <w:trPr>
          <w:cantSplit/>
          <w:tblHeader/>
        </w:trPr>
        <w:tc>
          <w:tcPr>
            <w:tcW w:w="1700" w:type="dxa"/>
            <w:shd w:val="clear" w:color="auto" w:fill="F4F6F9"/>
            <w:tcMar>
              <w:top w:w="80" w:type="dxa"/>
              <w:left w:w="120" w:type="dxa"/>
              <w:bottom w:w="80" w:type="dxa"/>
              <w:right w:w="120" w:type="dxa"/>
            </w:tcMar>
            <w:vAlign w:val="center"/>
          </w:tcPr>
          <w:p w14:paraId="7D75A644" w14:textId="77777777" w:rsidR="00F86FAD" w:rsidRDefault="00000000">
            <w:pPr>
              <w:spacing w:after="0" w:line="283" w:lineRule="auto"/>
              <w:jc w:val="left"/>
            </w:pPr>
            <w:r>
              <w:rPr>
                <w:rFonts w:eastAsia="Calibri"/>
                <w:b/>
                <w:color w:val="0B2545"/>
                <w:sz w:val="19"/>
              </w:rPr>
              <w:t>Orientation</w:t>
            </w:r>
          </w:p>
        </w:tc>
        <w:tc>
          <w:tcPr>
            <w:tcW w:w="2550" w:type="dxa"/>
            <w:shd w:val="clear" w:color="auto" w:fill="F4F6F9"/>
            <w:tcMar>
              <w:top w:w="80" w:type="dxa"/>
              <w:left w:w="120" w:type="dxa"/>
              <w:bottom w:w="80" w:type="dxa"/>
              <w:right w:w="120" w:type="dxa"/>
            </w:tcMar>
            <w:vAlign w:val="center"/>
          </w:tcPr>
          <w:p w14:paraId="25788AE5" w14:textId="77777777" w:rsidR="00F86FAD" w:rsidRDefault="00000000">
            <w:pPr>
              <w:spacing w:after="0" w:line="283" w:lineRule="auto"/>
              <w:jc w:val="left"/>
            </w:pPr>
            <w:r>
              <w:rPr>
                <w:rFonts w:eastAsia="Calibri"/>
                <w:b/>
                <w:color w:val="0B2545"/>
                <w:sz w:val="19"/>
              </w:rPr>
              <w:t>Objectif</w:t>
            </w:r>
          </w:p>
        </w:tc>
        <w:tc>
          <w:tcPr>
            <w:tcW w:w="3300" w:type="dxa"/>
            <w:shd w:val="clear" w:color="auto" w:fill="F4F6F9"/>
            <w:tcMar>
              <w:top w:w="80" w:type="dxa"/>
              <w:left w:w="120" w:type="dxa"/>
              <w:bottom w:w="80" w:type="dxa"/>
              <w:right w:w="120" w:type="dxa"/>
            </w:tcMar>
            <w:vAlign w:val="center"/>
          </w:tcPr>
          <w:p w14:paraId="1C754757" w14:textId="77777777" w:rsidR="00F86FAD" w:rsidRDefault="00000000">
            <w:pPr>
              <w:spacing w:after="0" w:line="283" w:lineRule="auto"/>
              <w:jc w:val="left"/>
            </w:pPr>
            <w:r>
              <w:rPr>
                <w:rFonts w:eastAsia="Calibri"/>
                <w:b/>
                <w:color w:val="0B2545"/>
                <w:sz w:val="19"/>
              </w:rPr>
              <w:t>Signes possibles</w:t>
            </w:r>
          </w:p>
        </w:tc>
        <w:tc>
          <w:tcPr>
            <w:tcW w:w="1810" w:type="dxa"/>
            <w:shd w:val="clear" w:color="auto" w:fill="F4F6F9"/>
            <w:tcMar>
              <w:top w:w="80" w:type="dxa"/>
              <w:left w:w="120" w:type="dxa"/>
              <w:bottom w:w="80" w:type="dxa"/>
              <w:right w:w="120" w:type="dxa"/>
            </w:tcMar>
            <w:vAlign w:val="center"/>
          </w:tcPr>
          <w:p w14:paraId="5A3E8768" w14:textId="77777777" w:rsidR="00F86FAD" w:rsidRDefault="00000000">
            <w:pPr>
              <w:spacing w:after="0" w:line="283" w:lineRule="auto"/>
              <w:jc w:val="left"/>
            </w:pPr>
            <w:r>
              <w:rPr>
                <w:rFonts w:eastAsia="Calibri"/>
                <w:b/>
                <w:color w:val="0B2545"/>
                <w:sz w:val="19"/>
              </w:rPr>
              <w:t>Risque</w:t>
            </w:r>
          </w:p>
        </w:tc>
      </w:tr>
      <w:tr w:rsidR="00F86FAD" w:rsidRPr="00D72345" w14:paraId="53F6EAAB" w14:textId="77777777">
        <w:trPr>
          <w:cantSplit/>
        </w:trPr>
        <w:tc>
          <w:tcPr>
            <w:tcW w:w="1700" w:type="dxa"/>
            <w:tcMar>
              <w:top w:w="80" w:type="dxa"/>
              <w:left w:w="120" w:type="dxa"/>
              <w:bottom w:w="80" w:type="dxa"/>
              <w:right w:w="120" w:type="dxa"/>
            </w:tcMar>
            <w:vAlign w:val="center"/>
          </w:tcPr>
          <w:p w14:paraId="6B962D58" w14:textId="77777777" w:rsidR="00F86FAD" w:rsidRDefault="00000000">
            <w:pPr>
              <w:spacing w:after="0" w:line="283" w:lineRule="auto"/>
              <w:jc w:val="left"/>
            </w:pPr>
            <w:r>
              <w:rPr>
                <w:rFonts w:eastAsia="Calibri"/>
                <w:sz w:val="19"/>
              </w:rPr>
              <w:t>Accommodante</w:t>
            </w:r>
          </w:p>
        </w:tc>
        <w:tc>
          <w:tcPr>
            <w:tcW w:w="2550" w:type="dxa"/>
            <w:tcMar>
              <w:top w:w="80" w:type="dxa"/>
              <w:left w:w="120" w:type="dxa"/>
              <w:bottom w:w="80" w:type="dxa"/>
              <w:right w:w="120" w:type="dxa"/>
            </w:tcMar>
            <w:vAlign w:val="center"/>
          </w:tcPr>
          <w:p w14:paraId="7B567A2F" w14:textId="77777777" w:rsidR="00F86FAD" w:rsidRDefault="00000000">
            <w:pPr>
              <w:spacing w:after="0" w:line="283" w:lineRule="auto"/>
              <w:jc w:val="left"/>
            </w:pPr>
            <w:r>
              <w:rPr>
                <w:rFonts w:eastAsia="Calibri"/>
                <w:sz w:val="19"/>
              </w:rPr>
              <w:t>Soutenir demande et inflation</w:t>
            </w:r>
          </w:p>
        </w:tc>
        <w:tc>
          <w:tcPr>
            <w:tcW w:w="3300" w:type="dxa"/>
            <w:tcMar>
              <w:top w:w="80" w:type="dxa"/>
              <w:left w:w="120" w:type="dxa"/>
              <w:bottom w:w="80" w:type="dxa"/>
              <w:right w:w="120" w:type="dxa"/>
            </w:tcMar>
            <w:vAlign w:val="center"/>
          </w:tcPr>
          <w:p w14:paraId="3F9A4899" w14:textId="77777777" w:rsidR="00F86FAD" w:rsidRPr="00D72345" w:rsidRDefault="00000000">
            <w:pPr>
              <w:spacing w:after="0" w:line="283" w:lineRule="auto"/>
              <w:jc w:val="left"/>
              <w:rPr>
                <w:lang w:val="fr-FR"/>
              </w:rPr>
            </w:pPr>
            <w:r w:rsidRPr="00D72345">
              <w:rPr>
                <w:rFonts w:eastAsia="Calibri"/>
                <w:sz w:val="19"/>
                <w:lang w:val="fr-FR"/>
              </w:rPr>
              <w:t>Taux bas ou baisses, bilan en hausse, message souple</w:t>
            </w:r>
          </w:p>
        </w:tc>
        <w:tc>
          <w:tcPr>
            <w:tcW w:w="1810" w:type="dxa"/>
            <w:tcMar>
              <w:top w:w="80" w:type="dxa"/>
              <w:left w:w="120" w:type="dxa"/>
              <w:bottom w:w="80" w:type="dxa"/>
              <w:right w:w="120" w:type="dxa"/>
            </w:tcMar>
            <w:vAlign w:val="center"/>
          </w:tcPr>
          <w:p w14:paraId="1CDFE23C" w14:textId="77777777" w:rsidR="00F86FAD" w:rsidRPr="00D72345" w:rsidRDefault="00000000">
            <w:pPr>
              <w:spacing w:after="0" w:line="283" w:lineRule="auto"/>
              <w:jc w:val="left"/>
              <w:rPr>
                <w:lang w:val="fr-FR"/>
              </w:rPr>
            </w:pPr>
            <w:r w:rsidRPr="00D72345">
              <w:rPr>
                <w:rFonts w:eastAsia="Calibri"/>
                <w:sz w:val="19"/>
                <w:lang w:val="fr-FR"/>
              </w:rPr>
              <w:t>Bulles, levier ou inflation future</w:t>
            </w:r>
          </w:p>
        </w:tc>
      </w:tr>
      <w:tr w:rsidR="00F86FAD" w:rsidRPr="00D72345" w14:paraId="4513EE7B" w14:textId="77777777">
        <w:trPr>
          <w:cantSplit/>
        </w:trPr>
        <w:tc>
          <w:tcPr>
            <w:tcW w:w="1700" w:type="dxa"/>
            <w:shd w:val="clear" w:color="auto" w:fill="FAFBFC"/>
            <w:tcMar>
              <w:top w:w="80" w:type="dxa"/>
              <w:left w:w="120" w:type="dxa"/>
              <w:bottom w:w="80" w:type="dxa"/>
              <w:right w:w="120" w:type="dxa"/>
            </w:tcMar>
            <w:vAlign w:val="center"/>
          </w:tcPr>
          <w:p w14:paraId="429577EA" w14:textId="77777777" w:rsidR="00F86FAD" w:rsidRDefault="00000000">
            <w:pPr>
              <w:spacing w:after="0" w:line="283" w:lineRule="auto"/>
              <w:jc w:val="left"/>
            </w:pPr>
            <w:r>
              <w:rPr>
                <w:rFonts w:eastAsia="Calibri"/>
                <w:sz w:val="19"/>
              </w:rPr>
              <w:t>Restrictive</w:t>
            </w:r>
          </w:p>
        </w:tc>
        <w:tc>
          <w:tcPr>
            <w:tcW w:w="2550" w:type="dxa"/>
            <w:shd w:val="clear" w:color="auto" w:fill="FAFBFC"/>
            <w:tcMar>
              <w:top w:w="80" w:type="dxa"/>
              <w:left w:w="120" w:type="dxa"/>
              <w:bottom w:w="80" w:type="dxa"/>
              <w:right w:w="120" w:type="dxa"/>
            </w:tcMar>
            <w:vAlign w:val="center"/>
          </w:tcPr>
          <w:p w14:paraId="7B262505" w14:textId="77777777" w:rsidR="00F86FAD" w:rsidRDefault="00000000">
            <w:pPr>
              <w:spacing w:after="0" w:line="283" w:lineRule="auto"/>
              <w:jc w:val="left"/>
            </w:pPr>
            <w:r>
              <w:rPr>
                <w:rFonts w:eastAsia="Calibri"/>
                <w:sz w:val="19"/>
              </w:rPr>
              <w:t>Ralentir demande et inflation</w:t>
            </w:r>
          </w:p>
        </w:tc>
        <w:tc>
          <w:tcPr>
            <w:tcW w:w="3300" w:type="dxa"/>
            <w:shd w:val="clear" w:color="auto" w:fill="FAFBFC"/>
            <w:tcMar>
              <w:top w:w="80" w:type="dxa"/>
              <w:left w:w="120" w:type="dxa"/>
              <w:bottom w:w="80" w:type="dxa"/>
              <w:right w:w="120" w:type="dxa"/>
            </w:tcMar>
            <w:vAlign w:val="center"/>
          </w:tcPr>
          <w:p w14:paraId="016728EE" w14:textId="77777777" w:rsidR="00F86FAD" w:rsidRPr="00D72345" w:rsidRDefault="00000000">
            <w:pPr>
              <w:spacing w:after="0" w:line="283" w:lineRule="auto"/>
              <w:jc w:val="left"/>
              <w:rPr>
                <w:lang w:val="fr-FR"/>
              </w:rPr>
            </w:pPr>
            <w:r w:rsidRPr="00D72345">
              <w:rPr>
                <w:rFonts w:eastAsia="Calibri"/>
                <w:sz w:val="19"/>
                <w:lang w:val="fr-FR"/>
              </w:rPr>
              <w:t>Taux élevés ou hausses, QT, message ferme</w:t>
            </w:r>
          </w:p>
        </w:tc>
        <w:tc>
          <w:tcPr>
            <w:tcW w:w="1810" w:type="dxa"/>
            <w:shd w:val="clear" w:color="auto" w:fill="FAFBFC"/>
            <w:tcMar>
              <w:top w:w="80" w:type="dxa"/>
              <w:left w:w="120" w:type="dxa"/>
              <w:bottom w:w="80" w:type="dxa"/>
              <w:right w:w="120" w:type="dxa"/>
            </w:tcMar>
            <w:vAlign w:val="center"/>
          </w:tcPr>
          <w:p w14:paraId="6D99EC87" w14:textId="77777777" w:rsidR="00F86FAD" w:rsidRPr="00D72345" w:rsidRDefault="00000000">
            <w:pPr>
              <w:spacing w:after="0" w:line="283" w:lineRule="auto"/>
              <w:jc w:val="left"/>
              <w:rPr>
                <w:lang w:val="fr-FR"/>
              </w:rPr>
            </w:pPr>
            <w:r w:rsidRPr="00D72345">
              <w:rPr>
                <w:rFonts w:eastAsia="Calibri"/>
                <w:sz w:val="19"/>
                <w:lang w:val="fr-FR"/>
              </w:rPr>
              <w:t>Récession, chômage ou stress financier</w:t>
            </w:r>
          </w:p>
        </w:tc>
      </w:tr>
      <w:tr w:rsidR="00F86FAD" w:rsidRPr="00D72345" w14:paraId="6C411919" w14:textId="77777777">
        <w:trPr>
          <w:cantSplit/>
        </w:trPr>
        <w:tc>
          <w:tcPr>
            <w:tcW w:w="1700" w:type="dxa"/>
            <w:tcMar>
              <w:top w:w="80" w:type="dxa"/>
              <w:left w:w="120" w:type="dxa"/>
              <w:bottom w:w="80" w:type="dxa"/>
              <w:right w:w="120" w:type="dxa"/>
            </w:tcMar>
            <w:vAlign w:val="center"/>
          </w:tcPr>
          <w:p w14:paraId="28B0B83B" w14:textId="77777777" w:rsidR="00F86FAD" w:rsidRDefault="00000000">
            <w:pPr>
              <w:spacing w:after="0" w:line="283" w:lineRule="auto"/>
              <w:jc w:val="left"/>
            </w:pPr>
            <w:proofErr w:type="spellStart"/>
            <w:r>
              <w:rPr>
                <w:rFonts w:eastAsia="Calibri"/>
                <w:sz w:val="19"/>
              </w:rPr>
              <w:t>Neutre</w:t>
            </w:r>
            <w:proofErr w:type="spellEnd"/>
          </w:p>
        </w:tc>
        <w:tc>
          <w:tcPr>
            <w:tcW w:w="2550" w:type="dxa"/>
            <w:tcMar>
              <w:top w:w="80" w:type="dxa"/>
              <w:left w:w="120" w:type="dxa"/>
              <w:bottom w:w="80" w:type="dxa"/>
              <w:right w:w="120" w:type="dxa"/>
            </w:tcMar>
            <w:vAlign w:val="center"/>
          </w:tcPr>
          <w:p w14:paraId="1E987738" w14:textId="77777777" w:rsidR="00F86FAD" w:rsidRPr="00D72345" w:rsidRDefault="00000000">
            <w:pPr>
              <w:spacing w:after="0" w:line="283" w:lineRule="auto"/>
              <w:jc w:val="left"/>
              <w:rPr>
                <w:lang w:val="fr-FR"/>
              </w:rPr>
            </w:pPr>
            <w:r w:rsidRPr="00D72345">
              <w:rPr>
                <w:rFonts w:eastAsia="Calibri"/>
                <w:sz w:val="19"/>
                <w:lang w:val="fr-FR"/>
              </w:rPr>
              <w:t>Ni stimuler ni freiner fortement</w:t>
            </w:r>
          </w:p>
        </w:tc>
        <w:tc>
          <w:tcPr>
            <w:tcW w:w="3300" w:type="dxa"/>
            <w:tcMar>
              <w:top w:w="80" w:type="dxa"/>
              <w:left w:w="120" w:type="dxa"/>
              <w:bottom w:w="80" w:type="dxa"/>
              <w:right w:w="120" w:type="dxa"/>
            </w:tcMar>
            <w:vAlign w:val="center"/>
          </w:tcPr>
          <w:p w14:paraId="5A225345" w14:textId="77777777" w:rsidR="00F86FAD" w:rsidRPr="00D72345" w:rsidRDefault="00000000">
            <w:pPr>
              <w:spacing w:after="0" w:line="283" w:lineRule="auto"/>
              <w:jc w:val="left"/>
              <w:rPr>
                <w:lang w:val="fr-FR"/>
              </w:rPr>
            </w:pPr>
            <w:r w:rsidRPr="00D72345">
              <w:rPr>
                <w:rFonts w:eastAsia="Calibri"/>
                <w:sz w:val="19"/>
                <w:lang w:val="fr-FR"/>
              </w:rPr>
              <w:t>Taux proche d'un équilibre estimé</w:t>
            </w:r>
          </w:p>
        </w:tc>
        <w:tc>
          <w:tcPr>
            <w:tcW w:w="1810" w:type="dxa"/>
            <w:tcMar>
              <w:top w:w="80" w:type="dxa"/>
              <w:left w:w="120" w:type="dxa"/>
              <w:bottom w:w="80" w:type="dxa"/>
              <w:right w:w="120" w:type="dxa"/>
            </w:tcMar>
            <w:vAlign w:val="center"/>
          </w:tcPr>
          <w:p w14:paraId="71E1532F" w14:textId="77777777" w:rsidR="00F86FAD" w:rsidRPr="00D72345" w:rsidRDefault="00000000">
            <w:pPr>
              <w:spacing w:after="0" w:line="283" w:lineRule="auto"/>
              <w:jc w:val="left"/>
              <w:rPr>
                <w:lang w:val="fr-FR"/>
              </w:rPr>
            </w:pPr>
            <w:r w:rsidRPr="00D72345">
              <w:rPr>
                <w:rFonts w:eastAsia="Calibri"/>
                <w:sz w:val="19"/>
                <w:lang w:val="fr-FR"/>
              </w:rPr>
              <w:t>Le taux neutre n'est pas directement observable</w:t>
            </w:r>
          </w:p>
        </w:tc>
      </w:tr>
    </w:tbl>
    <w:p w14:paraId="186CCAFF" w14:textId="77777777" w:rsidR="00F86FAD" w:rsidRPr="00D72345" w:rsidRDefault="00F86FAD">
      <w:pPr>
        <w:spacing w:after="100"/>
        <w:rPr>
          <w:lang w:val="fr-FR"/>
        </w:rPr>
      </w:pPr>
    </w:p>
    <w:p w14:paraId="20B4564E" w14:textId="77777777" w:rsidR="00F86FAD" w:rsidRPr="00D72345" w:rsidRDefault="00000000">
      <w:pPr>
        <w:rPr>
          <w:lang w:val="fr-FR"/>
        </w:rPr>
      </w:pPr>
      <w:r w:rsidRPr="00D72345">
        <w:rPr>
          <w:rFonts w:eastAsia="Calibri"/>
          <w:lang w:val="fr-FR"/>
        </w:rPr>
        <w:t>L'orientation dépend du taux réel, de l'économie et des anticipations, pas seulement du chiffre affiché. Un taux de 4 % peut être très restrictif lorsque l'inflation attendue est faible, mais moins restrictif lorsque l'inflation attendue est élevée.</w:t>
      </w:r>
    </w:p>
    <w:p w14:paraId="0FA0F9C7" w14:textId="77777777" w:rsidR="00F86FAD" w:rsidRPr="00D72345" w:rsidRDefault="00000000">
      <w:pPr>
        <w:pStyle w:val="Titre1"/>
        <w:keepNext/>
        <w:spacing w:after="140"/>
        <w:rPr>
          <w:lang w:val="fr-FR"/>
        </w:rPr>
      </w:pPr>
      <w:r>
        <w:rPr>
          <w:rFonts w:eastAsia="Calibri"/>
          <w:b/>
          <w:color w:val="0B2545"/>
          <w:sz w:val="48"/>
          <w:lang w:val="fr-FR"/>
        </w:rPr>
        <w:t>5. L'impact sur les marchés financiers</w:t>
      </w:r>
    </w:p>
    <w:p w14:paraId="2D9AFBBF" w14:textId="77777777" w:rsidR="00F86FAD" w:rsidRPr="00D72345" w:rsidRDefault="00000000">
      <w:pPr>
        <w:keepNext/>
        <w:spacing w:after="320"/>
        <w:rPr>
          <w:lang w:val="fr-FR"/>
        </w:rPr>
      </w:pPr>
      <w:r w:rsidRPr="00D72345">
        <w:rPr>
          <w:rFonts w:eastAsia="Calibri"/>
          <w:i/>
          <w:color w:val="1F4D78"/>
          <w:sz w:val="26"/>
          <w:lang w:val="fr-FR"/>
        </w:rPr>
        <w:t>Chaque actif traduit un canal différent de la même décision.</w:t>
      </w:r>
    </w:p>
    <w:p w14:paraId="2DB8878F" w14:textId="77777777" w:rsidR="00F86FAD" w:rsidRPr="00D72345" w:rsidRDefault="00000000">
      <w:pPr>
        <w:pStyle w:val="Titre2"/>
        <w:rPr>
          <w:lang w:val="fr-FR"/>
        </w:rPr>
      </w:pPr>
      <w:r w:rsidRPr="00D72345">
        <w:rPr>
          <w:lang w:val="fr-FR"/>
        </w:rPr>
        <w:t>5.1 Obligations : le marché le plus directement concerné</w:t>
      </w:r>
    </w:p>
    <w:p w14:paraId="1B354321" w14:textId="77777777" w:rsidR="00F86FAD" w:rsidRPr="00D72345" w:rsidRDefault="00000000">
      <w:pPr>
        <w:rPr>
          <w:lang w:val="fr-FR"/>
        </w:rPr>
      </w:pPr>
      <w:r w:rsidRPr="00D72345">
        <w:rPr>
          <w:rFonts w:eastAsia="Calibri"/>
          <w:lang w:val="fr-FR"/>
        </w:rPr>
        <w:t>Une obligation existante verse des paiements fixés à l'avance. Si les nouveaux taux montent, son rendement doit devenir compétitif : son prix baisse généralement. Si les taux baissent, son prix monte généralement. Plus l'échéance est longue, plus le prix est sensible aux changements de taux et d'anticipations.</w:t>
      </w:r>
    </w:p>
    <w:p w14:paraId="655D1C15" w14:textId="77777777" w:rsidR="00F86FAD" w:rsidRPr="00D72345" w:rsidRDefault="00000000">
      <w:pPr>
        <w:keepLines/>
        <w:pBdr>
          <w:left w:val="single" w:sz="18" w:space="8" w:color="2E74B5"/>
        </w:pBdr>
        <w:shd w:val="clear" w:color="auto" w:fill="EEF4FA"/>
        <w:spacing w:before="100" w:after="200" w:line="288" w:lineRule="auto"/>
        <w:ind w:left="173" w:right="115"/>
        <w:rPr>
          <w:lang w:val="fr-FR"/>
        </w:rPr>
      </w:pPr>
      <w:r w:rsidRPr="00D72345">
        <w:rPr>
          <w:rFonts w:eastAsia="Calibri"/>
          <w:b/>
          <w:color w:val="2E74B5"/>
          <w:sz w:val="20"/>
          <w:lang w:val="fr-FR"/>
        </w:rPr>
        <w:t xml:space="preserve">RELATION </w:t>
      </w:r>
      <w:proofErr w:type="gramStart"/>
      <w:r w:rsidRPr="00D72345">
        <w:rPr>
          <w:rFonts w:eastAsia="Calibri"/>
          <w:b/>
          <w:color w:val="2E74B5"/>
          <w:sz w:val="20"/>
          <w:lang w:val="fr-FR"/>
        </w:rPr>
        <w:t xml:space="preserve">ESSENTIELLE  </w:t>
      </w:r>
      <w:r w:rsidRPr="00D72345">
        <w:rPr>
          <w:rFonts w:eastAsia="Calibri"/>
          <w:sz w:val="21"/>
          <w:lang w:val="fr-FR"/>
        </w:rPr>
        <w:t>Prix</w:t>
      </w:r>
      <w:proofErr w:type="gramEnd"/>
      <w:r w:rsidRPr="00D72345">
        <w:rPr>
          <w:rFonts w:eastAsia="Calibri"/>
          <w:sz w:val="21"/>
          <w:lang w:val="fr-FR"/>
        </w:rPr>
        <w:t xml:space="preserve"> obligataire et rendement évoluent généralement en sens inverse. C'est l'une des relations les plus importantes du cours.</w:t>
      </w:r>
    </w:p>
    <w:p w14:paraId="400B3C54" w14:textId="77777777" w:rsidR="00F86FAD" w:rsidRPr="00D72345" w:rsidRDefault="00000000">
      <w:pPr>
        <w:pStyle w:val="Titre2"/>
        <w:rPr>
          <w:lang w:val="fr-FR"/>
        </w:rPr>
      </w:pPr>
      <w:r w:rsidRPr="00D72345">
        <w:rPr>
          <w:lang w:val="fr-FR"/>
        </w:rPr>
        <w:t>5.2 La courbe des taux</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100"/>
        <w:gridCol w:w="3950"/>
        <w:gridCol w:w="3310"/>
      </w:tblGrid>
      <w:tr w:rsidR="00F86FAD" w14:paraId="264D5DB1" w14:textId="77777777">
        <w:trPr>
          <w:cantSplit/>
          <w:tblHeader/>
        </w:trPr>
        <w:tc>
          <w:tcPr>
            <w:tcW w:w="2100" w:type="dxa"/>
            <w:shd w:val="clear" w:color="auto" w:fill="F4F6F9"/>
            <w:tcMar>
              <w:top w:w="80" w:type="dxa"/>
              <w:left w:w="120" w:type="dxa"/>
              <w:bottom w:w="80" w:type="dxa"/>
              <w:right w:w="120" w:type="dxa"/>
            </w:tcMar>
            <w:vAlign w:val="center"/>
          </w:tcPr>
          <w:p w14:paraId="0A162F2C" w14:textId="77777777" w:rsidR="00F86FAD" w:rsidRDefault="00000000">
            <w:pPr>
              <w:spacing w:after="0" w:line="283" w:lineRule="auto"/>
              <w:jc w:val="left"/>
            </w:pPr>
            <w:proofErr w:type="spellStart"/>
            <w:r>
              <w:rPr>
                <w:rFonts w:eastAsia="Calibri"/>
                <w:b/>
                <w:color w:val="0B2545"/>
                <w:sz w:val="19"/>
              </w:rPr>
              <w:t>Mouvement</w:t>
            </w:r>
            <w:proofErr w:type="spellEnd"/>
          </w:p>
        </w:tc>
        <w:tc>
          <w:tcPr>
            <w:tcW w:w="3950" w:type="dxa"/>
            <w:shd w:val="clear" w:color="auto" w:fill="F4F6F9"/>
            <w:tcMar>
              <w:top w:w="80" w:type="dxa"/>
              <w:left w:w="120" w:type="dxa"/>
              <w:bottom w:w="80" w:type="dxa"/>
              <w:right w:w="120" w:type="dxa"/>
            </w:tcMar>
            <w:vAlign w:val="center"/>
          </w:tcPr>
          <w:p w14:paraId="101C577F" w14:textId="77777777" w:rsidR="00F86FAD" w:rsidRDefault="00000000">
            <w:pPr>
              <w:spacing w:after="0" w:line="283" w:lineRule="auto"/>
              <w:jc w:val="left"/>
            </w:pPr>
            <w:r>
              <w:rPr>
                <w:rFonts w:eastAsia="Calibri"/>
                <w:b/>
                <w:color w:val="0B2545"/>
                <w:sz w:val="19"/>
              </w:rPr>
              <w:t>Lecture possible</w:t>
            </w:r>
          </w:p>
        </w:tc>
        <w:tc>
          <w:tcPr>
            <w:tcW w:w="3310" w:type="dxa"/>
            <w:shd w:val="clear" w:color="auto" w:fill="F4F6F9"/>
            <w:tcMar>
              <w:top w:w="80" w:type="dxa"/>
              <w:left w:w="120" w:type="dxa"/>
              <w:bottom w:w="80" w:type="dxa"/>
              <w:right w:w="120" w:type="dxa"/>
            </w:tcMar>
            <w:vAlign w:val="center"/>
          </w:tcPr>
          <w:p w14:paraId="2A555291" w14:textId="77777777" w:rsidR="00F86FAD" w:rsidRDefault="00000000">
            <w:pPr>
              <w:spacing w:after="0" w:line="283" w:lineRule="auto"/>
              <w:jc w:val="left"/>
            </w:pPr>
            <w:r>
              <w:rPr>
                <w:rFonts w:eastAsia="Calibri"/>
                <w:b/>
                <w:color w:val="0B2545"/>
                <w:sz w:val="19"/>
              </w:rPr>
              <w:t>Prudence</w:t>
            </w:r>
          </w:p>
        </w:tc>
      </w:tr>
      <w:tr w:rsidR="00F86FAD" w:rsidRPr="00D72345" w14:paraId="301C5EDF" w14:textId="77777777">
        <w:trPr>
          <w:cantSplit/>
        </w:trPr>
        <w:tc>
          <w:tcPr>
            <w:tcW w:w="2100" w:type="dxa"/>
            <w:tcMar>
              <w:top w:w="80" w:type="dxa"/>
              <w:left w:w="120" w:type="dxa"/>
              <w:bottom w:w="80" w:type="dxa"/>
              <w:right w:w="120" w:type="dxa"/>
            </w:tcMar>
            <w:vAlign w:val="center"/>
          </w:tcPr>
          <w:p w14:paraId="0110210D" w14:textId="77777777" w:rsidR="00F86FAD" w:rsidRDefault="00000000">
            <w:pPr>
              <w:spacing w:after="0" w:line="283" w:lineRule="auto"/>
              <w:jc w:val="left"/>
            </w:pPr>
            <w:r>
              <w:rPr>
                <w:rFonts w:eastAsia="Calibri"/>
                <w:sz w:val="19"/>
              </w:rPr>
              <w:t>Taux courts en hausse</w:t>
            </w:r>
          </w:p>
        </w:tc>
        <w:tc>
          <w:tcPr>
            <w:tcW w:w="3950" w:type="dxa"/>
            <w:tcMar>
              <w:top w:w="80" w:type="dxa"/>
              <w:left w:w="120" w:type="dxa"/>
              <w:bottom w:w="80" w:type="dxa"/>
              <w:right w:w="120" w:type="dxa"/>
            </w:tcMar>
            <w:vAlign w:val="center"/>
          </w:tcPr>
          <w:p w14:paraId="62D0A9B7" w14:textId="77777777" w:rsidR="00F86FAD" w:rsidRDefault="00000000">
            <w:pPr>
              <w:spacing w:after="0" w:line="283" w:lineRule="auto"/>
              <w:jc w:val="left"/>
            </w:pPr>
            <w:r>
              <w:rPr>
                <w:rFonts w:eastAsia="Calibri"/>
                <w:sz w:val="19"/>
              </w:rPr>
              <w:t>Politique plus restrictive attendue</w:t>
            </w:r>
          </w:p>
        </w:tc>
        <w:tc>
          <w:tcPr>
            <w:tcW w:w="3310" w:type="dxa"/>
            <w:tcMar>
              <w:top w:w="80" w:type="dxa"/>
              <w:left w:w="120" w:type="dxa"/>
              <w:bottom w:w="80" w:type="dxa"/>
              <w:right w:w="120" w:type="dxa"/>
            </w:tcMar>
            <w:vAlign w:val="center"/>
          </w:tcPr>
          <w:p w14:paraId="7A0BC1F2" w14:textId="77777777" w:rsidR="00F86FAD" w:rsidRPr="00D72345" w:rsidRDefault="00000000">
            <w:pPr>
              <w:spacing w:after="0" w:line="283" w:lineRule="auto"/>
              <w:jc w:val="left"/>
              <w:rPr>
                <w:lang w:val="fr-FR"/>
              </w:rPr>
            </w:pPr>
            <w:r w:rsidRPr="00D72345">
              <w:rPr>
                <w:rFonts w:eastAsia="Calibri"/>
                <w:sz w:val="19"/>
                <w:lang w:val="fr-FR"/>
              </w:rPr>
              <w:t>Peut déjà être intégré avant la réunion</w:t>
            </w:r>
          </w:p>
        </w:tc>
      </w:tr>
      <w:tr w:rsidR="00F86FAD" w:rsidRPr="00D72345" w14:paraId="11C5BD53" w14:textId="77777777">
        <w:trPr>
          <w:cantSplit/>
        </w:trPr>
        <w:tc>
          <w:tcPr>
            <w:tcW w:w="2100" w:type="dxa"/>
            <w:shd w:val="clear" w:color="auto" w:fill="FAFBFC"/>
            <w:tcMar>
              <w:top w:w="80" w:type="dxa"/>
              <w:left w:w="120" w:type="dxa"/>
              <w:bottom w:w="80" w:type="dxa"/>
              <w:right w:w="120" w:type="dxa"/>
            </w:tcMar>
            <w:vAlign w:val="center"/>
          </w:tcPr>
          <w:p w14:paraId="4B705186" w14:textId="77777777" w:rsidR="00F86FAD" w:rsidRDefault="00000000">
            <w:pPr>
              <w:spacing w:after="0" w:line="283" w:lineRule="auto"/>
              <w:jc w:val="left"/>
            </w:pPr>
            <w:proofErr w:type="spellStart"/>
            <w:r>
              <w:rPr>
                <w:rFonts w:eastAsia="Calibri"/>
                <w:sz w:val="19"/>
              </w:rPr>
              <w:t>Taux</w:t>
            </w:r>
            <w:proofErr w:type="spellEnd"/>
            <w:r>
              <w:rPr>
                <w:rFonts w:eastAsia="Calibri"/>
                <w:sz w:val="19"/>
              </w:rPr>
              <w:t xml:space="preserve"> longs </w:t>
            </w:r>
            <w:proofErr w:type="spellStart"/>
            <w:r>
              <w:rPr>
                <w:rFonts w:eastAsia="Calibri"/>
                <w:sz w:val="19"/>
              </w:rPr>
              <w:t>en</w:t>
            </w:r>
            <w:proofErr w:type="spellEnd"/>
            <w:r>
              <w:rPr>
                <w:rFonts w:eastAsia="Calibri"/>
                <w:sz w:val="19"/>
              </w:rPr>
              <w:t xml:space="preserve"> </w:t>
            </w:r>
            <w:proofErr w:type="spellStart"/>
            <w:r>
              <w:rPr>
                <w:rFonts w:eastAsia="Calibri"/>
                <w:sz w:val="19"/>
              </w:rPr>
              <w:t>hausse</w:t>
            </w:r>
            <w:proofErr w:type="spellEnd"/>
          </w:p>
        </w:tc>
        <w:tc>
          <w:tcPr>
            <w:tcW w:w="3950" w:type="dxa"/>
            <w:shd w:val="clear" w:color="auto" w:fill="FAFBFC"/>
            <w:tcMar>
              <w:top w:w="80" w:type="dxa"/>
              <w:left w:w="120" w:type="dxa"/>
              <w:bottom w:w="80" w:type="dxa"/>
              <w:right w:w="120" w:type="dxa"/>
            </w:tcMar>
            <w:vAlign w:val="center"/>
          </w:tcPr>
          <w:p w14:paraId="2EF46A95" w14:textId="77777777" w:rsidR="00F86FAD" w:rsidRPr="00D72345" w:rsidRDefault="00000000">
            <w:pPr>
              <w:spacing w:after="0" w:line="283" w:lineRule="auto"/>
              <w:jc w:val="left"/>
              <w:rPr>
                <w:lang w:val="fr-FR"/>
              </w:rPr>
            </w:pPr>
            <w:r w:rsidRPr="00D72345">
              <w:rPr>
                <w:rFonts w:eastAsia="Calibri"/>
                <w:sz w:val="19"/>
                <w:lang w:val="fr-FR"/>
              </w:rPr>
              <w:t>Inflation, croissance, prime de terme ou offre de dette plus élevée</w:t>
            </w:r>
          </w:p>
        </w:tc>
        <w:tc>
          <w:tcPr>
            <w:tcW w:w="3310" w:type="dxa"/>
            <w:shd w:val="clear" w:color="auto" w:fill="FAFBFC"/>
            <w:tcMar>
              <w:top w:w="80" w:type="dxa"/>
              <w:left w:w="120" w:type="dxa"/>
              <w:bottom w:w="80" w:type="dxa"/>
              <w:right w:w="120" w:type="dxa"/>
            </w:tcMar>
            <w:vAlign w:val="center"/>
          </w:tcPr>
          <w:p w14:paraId="71A994FE" w14:textId="77777777" w:rsidR="00F86FAD" w:rsidRPr="00D72345" w:rsidRDefault="00000000">
            <w:pPr>
              <w:spacing w:after="0" w:line="283" w:lineRule="auto"/>
              <w:jc w:val="left"/>
              <w:rPr>
                <w:lang w:val="fr-FR"/>
              </w:rPr>
            </w:pPr>
            <w:r w:rsidRPr="00D72345">
              <w:rPr>
                <w:rFonts w:eastAsia="Calibri"/>
                <w:sz w:val="19"/>
                <w:lang w:val="fr-FR"/>
              </w:rPr>
              <w:t>La cause n'est pas toujours la banque centrale</w:t>
            </w:r>
          </w:p>
        </w:tc>
      </w:tr>
      <w:tr w:rsidR="00F86FAD" w:rsidRPr="00D72345" w14:paraId="7E0887AF" w14:textId="77777777">
        <w:trPr>
          <w:cantSplit/>
        </w:trPr>
        <w:tc>
          <w:tcPr>
            <w:tcW w:w="2100" w:type="dxa"/>
            <w:tcMar>
              <w:top w:w="80" w:type="dxa"/>
              <w:left w:w="120" w:type="dxa"/>
              <w:bottom w:w="80" w:type="dxa"/>
              <w:right w:w="120" w:type="dxa"/>
            </w:tcMar>
            <w:vAlign w:val="center"/>
          </w:tcPr>
          <w:p w14:paraId="69FCE61A" w14:textId="77777777" w:rsidR="00F86FAD" w:rsidRDefault="00000000">
            <w:pPr>
              <w:spacing w:after="0" w:line="283" w:lineRule="auto"/>
              <w:jc w:val="left"/>
            </w:pPr>
            <w:proofErr w:type="spellStart"/>
            <w:r>
              <w:rPr>
                <w:rFonts w:eastAsia="Calibri"/>
                <w:sz w:val="19"/>
              </w:rPr>
              <w:t>Courbe</w:t>
            </w:r>
            <w:proofErr w:type="spellEnd"/>
            <w:r>
              <w:rPr>
                <w:rFonts w:eastAsia="Calibri"/>
                <w:sz w:val="19"/>
              </w:rPr>
              <w:t xml:space="preserve"> qui </w:t>
            </w:r>
            <w:proofErr w:type="spellStart"/>
            <w:r>
              <w:rPr>
                <w:rFonts w:eastAsia="Calibri"/>
                <w:sz w:val="19"/>
              </w:rPr>
              <w:t>s'inverse</w:t>
            </w:r>
            <w:proofErr w:type="spellEnd"/>
          </w:p>
        </w:tc>
        <w:tc>
          <w:tcPr>
            <w:tcW w:w="3950" w:type="dxa"/>
            <w:tcMar>
              <w:top w:w="80" w:type="dxa"/>
              <w:left w:w="120" w:type="dxa"/>
              <w:bottom w:w="80" w:type="dxa"/>
              <w:right w:w="120" w:type="dxa"/>
            </w:tcMar>
            <w:vAlign w:val="center"/>
          </w:tcPr>
          <w:p w14:paraId="26146231" w14:textId="77777777" w:rsidR="00F86FAD" w:rsidRPr="00D72345" w:rsidRDefault="00000000">
            <w:pPr>
              <w:spacing w:after="0" w:line="283" w:lineRule="auto"/>
              <w:jc w:val="left"/>
              <w:rPr>
                <w:lang w:val="fr-FR"/>
              </w:rPr>
            </w:pPr>
            <w:r w:rsidRPr="00D72345">
              <w:rPr>
                <w:rFonts w:eastAsia="Calibri"/>
                <w:sz w:val="19"/>
                <w:lang w:val="fr-FR"/>
              </w:rPr>
              <w:t>Taux courts supérieurs aux taux longs ; anticipation de ralentissement ou de baisses futures</w:t>
            </w:r>
          </w:p>
        </w:tc>
        <w:tc>
          <w:tcPr>
            <w:tcW w:w="3310" w:type="dxa"/>
            <w:tcMar>
              <w:top w:w="80" w:type="dxa"/>
              <w:left w:w="120" w:type="dxa"/>
              <w:bottom w:w="80" w:type="dxa"/>
              <w:right w:w="120" w:type="dxa"/>
            </w:tcMar>
            <w:vAlign w:val="center"/>
          </w:tcPr>
          <w:p w14:paraId="7707B71B" w14:textId="77777777" w:rsidR="00F86FAD" w:rsidRPr="00D72345" w:rsidRDefault="00000000">
            <w:pPr>
              <w:spacing w:after="0" w:line="283" w:lineRule="auto"/>
              <w:jc w:val="left"/>
              <w:rPr>
                <w:lang w:val="fr-FR"/>
              </w:rPr>
            </w:pPr>
            <w:r w:rsidRPr="00D72345">
              <w:rPr>
                <w:rFonts w:eastAsia="Calibri"/>
                <w:sz w:val="19"/>
                <w:lang w:val="fr-FR"/>
              </w:rPr>
              <w:t>Ce n'est pas un chronomètre exact de récession</w:t>
            </w:r>
          </w:p>
        </w:tc>
      </w:tr>
      <w:tr w:rsidR="00F86FAD" w:rsidRPr="00D72345" w14:paraId="476AB95C" w14:textId="77777777">
        <w:trPr>
          <w:cantSplit/>
        </w:trPr>
        <w:tc>
          <w:tcPr>
            <w:tcW w:w="2100" w:type="dxa"/>
            <w:shd w:val="clear" w:color="auto" w:fill="FAFBFC"/>
            <w:tcMar>
              <w:top w:w="80" w:type="dxa"/>
              <w:left w:w="120" w:type="dxa"/>
              <w:bottom w:w="80" w:type="dxa"/>
              <w:right w:w="120" w:type="dxa"/>
            </w:tcMar>
            <w:vAlign w:val="center"/>
          </w:tcPr>
          <w:p w14:paraId="284A2E99" w14:textId="77777777" w:rsidR="00F86FAD" w:rsidRDefault="00000000">
            <w:pPr>
              <w:spacing w:after="0" w:line="283" w:lineRule="auto"/>
              <w:jc w:val="left"/>
            </w:pPr>
            <w:proofErr w:type="spellStart"/>
            <w:r>
              <w:rPr>
                <w:rFonts w:eastAsia="Calibri"/>
                <w:sz w:val="19"/>
              </w:rPr>
              <w:t>Courbe</w:t>
            </w:r>
            <w:proofErr w:type="spellEnd"/>
            <w:r>
              <w:rPr>
                <w:rFonts w:eastAsia="Calibri"/>
                <w:sz w:val="19"/>
              </w:rPr>
              <w:t xml:space="preserve"> qui se </w:t>
            </w:r>
            <w:proofErr w:type="spellStart"/>
            <w:r>
              <w:rPr>
                <w:rFonts w:eastAsia="Calibri"/>
                <w:sz w:val="19"/>
              </w:rPr>
              <w:t>pentifie</w:t>
            </w:r>
            <w:proofErr w:type="spellEnd"/>
          </w:p>
        </w:tc>
        <w:tc>
          <w:tcPr>
            <w:tcW w:w="3950" w:type="dxa"/>
            <w:shd w:val="clear" w:color="auto" w:fill="FAFBFC"/>
            <w:tcMar>
              <w:top w:w="80" w:type="dxa"/>
              <w:left w:w="120" w:type="dxa"/>
              <w:bottom w:w="80" w:type="dxa"/>
              <w:right w:w="120" w:type="dxa"/>
            </w:tcMar>
            <w:vAlign w:val="center"/>
          </w:tcPr>
          <w:p w14:paraId="40EA7E52" w14:textId="77777777" w:rsidR="00F86FAD" w:rsidRDefault="00000000">
            <w:pPr>
              <w:spacing w:after="0" w:line="283" w:lineRule="auto"/>
              <w:jc w:val="left"/>
            </w:pPr>
            <w:r>
              <w:rPr>
                <w:rFonts w:eastAsia="Calibri"/>
                <w:sz w:val="19"/>
              </w:rPr>
              <w:t>Écart long-court augmente</w:t>
            </w:r>
          </w:p>
        </w:tc>
        <w:tc>
          <w:tcPr>
            <w:tcW w:w="3310" w:type="dxa"/>
            <w:shd w:val="clear" w:color="auto" w:fill="FAFBFC"/>
            <w:tcMar>
              <w:top w:w="80" w:type="dxa"/>
              <w:left w:w="120" w:type="dxa"/>
              <w:bottom w:w="80" w:type="dxa"/>
              <w:right w:w="120" w:type="dxa"/>
            </w:tcMar>
            <w:vAlign w:val="center"/>
          </w:tcPr>
          <w:p w14:paraId="7EFCE85A" w14:textId="77777777" w:rsidR="00F86FAD" w:rsidRPr="00D72345" w:rsidRDefault="00000000">
            <w:pPr>
              <w:spacing w:after="0" w:line="283" w:lineRule="auto"/>
              <w:jc w:val="left"/>
              <w:rPr>
                <w:lang w:val="fr-FR"/>
              </w:rPr>
            </w:pPr>
            <w:r w:rsidRPr="00D72345">
              <w:rPr>
                <w:rFonts w:eastAsia="Calibri"/>
                <w:sz w:val="19"/>
                <w:lang w:val="fr-FR"/>
              </w:rPr>
              <w:t>Peut venir d'espoirs de croissance ou de craintes inflationnistes</w:t>
            </w:r>
          </w:p>
        </w:tc>
      </w:tr>
    </w:tbl>
    <w:p w14:paraId="6455D137" w14:textId="77777777" w:rsidR="00F86FAD" w:rsidRPr="00D72345" w:rsidRDefault="00F86FAD">
      <w:pPr>
        <w:spacing w:after="100"/>
        <w:rPr>
          <w:lang w:val="fr-FR"/>
        </w:rPr>
      </w:pPr>
    </w:p>
    <w:p w14:paraId="4B48202B" w14:textId="77777777" w:rsidR="00F86FAD" w:rsidRPr="00D72345" w:rsidRDefault="00000000">
      <w:pPr>
        <w:pStyle w:val="Titre2"/>
        <w:rPr>
          <w:lang w:val="fr-FR"/>
        </w:rPr>
      </w:pPr>
      <w:r w:rsidRPr="00D72345">
        <w:rPr>
          <w:lang w:val="fr-FR"/>
        </w:rPr>
        <w:t>5.3 Actions</w:t>
      </w:r>
    </w:p>
    <w:p w14:paraId="2906EEC2" w14:textId="77777777" w:rsidR="00F86FAD" w:rsidRPr="00D72345" w:rsidRDefault="00000000">
      <w:pPr>
        <w:rPr>
          <w:lang w:val="fr-FR"/>
        </w:rPr>
      </w:pPr>
      <w:r w:rsidRPr="00D72345">
        <w:rPr>
          <w:rFonts w:eastAsia="Calibri"/>
          <w:lang w:val="fr-FR"/>
        </w:rPr>
        <w:t>Les actions réagissent par deux voies. Premièrement, des taux plus élevés réduisent la valeur actuelle des bénéfices futurs, surtout pour les entreprises dont les profits sont attendus loin dans le futur. Deuxièmement, ils peuvent ralentir les ventes, augmenter le coût de la dette et réduire les marges. Mais les banques peuvent parfois bénéficier d'écarts de taux plus favorables, jusqu'au point où défauts et ralentissement dominent.</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400"/>
        <w:gridCol w:w="2400"/>
        <w:gridCol w:w="4560"/>
      </w:tblGrid>
      <w:tr w:rsidR="00F86FAD" w14:paraId="451C0845" w14:textId="77777777">
        <w:trPr>
          <w:cantSplit/>
          <w:tblHeader/>
        </w:trPr>
        <w:tc>
          <w:tcPr>
            <w:tcW w:w="2400" w:type="dxa"/>
            <w:shd w:val="clear" w:color="auto" w:fill="F4F6F9"/>
            <w:tcMar>
              <w:top w:w="80" w:type="dxa"/>
              <w:left w:w="120" w:type="dxa"/>
              <w:bottom w:w="80" w:type="dxa"/>
              <w:right w:w="120" w:type="dxa"/>
            </w:tcMar>
            <w:vAlign w:val="center"/>
          </w:tcPr>
          <w:p w14:paraId="0A0259DA" w14:textId="77777777" w:rsidR="00F86FAD" w:rsidRDefault="00000000">
            <w:pPr>
              <w:spacing w:after="0" w:line="283" w:lineRule="auto"/>
              <w:jc w:val="left"/>
            </w:pPr>
            <w:r>
              <w:rPr>
                <w:rFonts w:eastAsia="Calibri"/>
                <w:b/>
                <w:color w:val="0B2545"/>
                <w:sz w:val="19"/>
              </w:rPr>
              <w:t xml:space="preserve">Type </w:t>
            </w:r>
            <w:proofErr w:type="spellStart"/>
            <w:r>
              <w:rPr>
                <w:rFonts w:eastAsia="Calibri"/>
                <w:b/>
                <w:color w:val="0B2545"/>
                <w:sz w:val="19"/>
              </w:rPr>
              <w:t>d'entreprise</w:t>
            </w:r>
            <w:proofErr w:type="spellEnd"/>
          </w:p>
        </w:tc>
        <w:tc>
          <w:tcPr>
            <w:tcW w:w="2400" w:type="dxa"/>
            <w:shd w:val="clear" w:color="auto" w:fill="F4F6F9"/>
            <w:tcMar>
              <w:top w:w="80" w:type="dxa"/>
              <w:left w:w="120" w:type="dxa"/>
              <w:bottom w:w="80" w:type="dxa"/>
              <w:right w:w="120" w:type="dxa"/>
            </w:tcMar>
            <w:vAlign w:val="center"/>
          </w:tcPr>
          <w:p w14:paraId="173DBDB7" w14:textId="77777777" w:rsidR="00F86FAD" w:rsidRDefault="00000000">
            <w:pPr>
              <w:spacing w:after="0" w:line="283" w:lineRule="auto"/>
              <w:jc w:val="left"/>
            </w:pPr>
            <w:r>
              <w:rPr>
                <w:rFonts w:eastAsia="Calibri"/>
                <w:b/>
                <w:color w:val="0B2545"/>
                <w:sz w:val="19"/>
              </w:rPr>
              <w:t>Sensibilité fréquente</w:t>
            </w:r>
          </w:p>
        </w:tc>
        <w:tc>
          <w:tcPr>
            <w:tcW w:w="4560" w:type="dxa"/>
            <w:shd w:val="clear" w:color="auto" w:fill="F4F6F9"/>
            <w:tcMar>
              <w:top w:w="80" w:type="dxa"/>
              <w:left w:w="120" w:type="dxa"/>
              <w:bottom w:w="80" w:type="dxa"/>
              <w:right w:w="120" w:type="dxa"/>
            </w:tcMar>
            <w:vAlign w:val="center"/>
          </w:tcPr>
          <w:p w14:paraId="36A3CDD4" w14:textId="77777777" w:rsidR="00F86FAD" w:rsidRDefault="00000000">
            <w:pPr>
              <w:spacing w:after="0" w:line="283" w:lineRule="auto"/>
              <w:jc w:val="left"/>
            </w:pPr>
            <w:r>
              <w:rPr>
                <w:rFonts w:eastAsia="Calibri"/>
                <w:b/>
                <w:color w:val="0B2545"/>
                <w:sz w:val="19"/>
              </w:rPr>
              <w:t>Facteur décisif</w:t>
            </w:r>
          </w:p>
        </w:tc>
      </w:tr>
      <w:tr w:rsidR="00F86FAD" w:rsidRPr="00D72345" w14:paraId="680DE8BD" w14:textId="77777777">
        <w:trPr>
          <w:cantSplit/>
        </w:trPr>
        <w:tc>
          <w:tcPr>
            <w:tcW w:w="2400" w:type="dxa"/>
            <w:tcMar>
              <w:top w:w="80" w:type="dxa"/>
              <w:left w:w="120" w:type="dxa"/>
              <w:bottom w:w="80" w:type="dxa"/>
              <w:right w:w="120" w:type="dxa"/>
            </w:tcMar>
            <w:vAlign w:val="center"/>
          </w:tcPr>
          <w:p w14:paraId="5F761921" w14:textId="77777777" w:rsidR="00F86FAD" w:rsidRDefault="00000000">
            <w:pPr>
              <w:spacing w:after="0" w:line="283" w:lineRule="auto"/>
              <w:jc w:val="left"/>
            </w:pPr>
            <w:r>
              <w:rPr>
                <w:rFonts w:eastAsia="Calibri"/>
                <w:sz w:val="19"/>
              </w:rPr>
              <w:t>Croissance / technologie</w:t>
            </w:r>
          </w:p>
        </w:tc>
        <w:tc>
          <w:tcPr>
            <w:tcW w:w="2400" w:type="dxa"/>
            <w:tcMar>
              <w:top w:w="80" w:type="dxa"/>
              <w:left w:w="120" w:type="dxa"/>
              <w:bottom w:w="80" w:type="dxa"/>
              <w:right w:w="120" w:type="dxa"/>
            </w:tcMar>
            <w:vAlign w:val="center"/>
          </w:tcPr>
          <w:p w14:paraId="50AEED90" w14:textId="77777777" w:rsidR="00F86FAD" w:rsidRDefault="00000000">
            <w:pPr>
              <w:spacing w:after="0" w:line="283" w:lineRule="auto"/>
              <w:jc w:val="left"/>
            </w:pPr>
            <w:r>
              <w:rPr>
                <w:rFonts w:eastAsia="Calibri"/>
                <w:sz w:val="19"/>
              </w:rPr>
              <w:t>Forte aux taux longs</w:t>
            </w:r>
          </w:p>
        </w:tc>
        <w:tc>
          <w:tcPr>
            <w:tcW w:w="4560" w:type="dxa"/>
            <w:tcMar>
              <w:top w:w="80" w:type="dxa"/>
              <w:left w:w="120" w:type="dxa"/>
              <w:bottom w:w="80" w:type="dxa"/>
              <w:right w:w="120" w:type="dxa"/>
            </w:tcMar>
            <w:vAlign w:val="center"/>
          </w:tcPr>
          <w:p w14:paraId="61DCA0B3" w14:textId="77777777" w:rsidR="00F86FAD" w:rsidRPr="00D72345" w:rsidRDefault="00000000">
            <w:pPr>
              <w:spacing w:after="0" w:line="283" w:lineRule="auto"/>
              <w:jc w:val="left"/>
              <w:rPr>
                <w:lang w:val="fr-FR"/>
              </w:rPr>
            </w:pPr>
            <w:r w:rsidRPr="00D72345">
              <w:rPr>
                <w:rFonts w:eastAsia="Calibri"/>
                <w:sz w:val="19"/>
                <w:lang w:val="fr-FR"/>
              </w:rPr>
              <w:t>Durée des bénéfices, valorisation et financement</w:t>
            </w:r>
          </w:p>
        </w:tc>
      </w:tr>
      <w:tr w:rsidR="00F86FAD" w:rsidRPr="00D72345" w14:paraId="1D81B714" w14:textId="77777777">
        <w:trPr>
          <w:cantSplit/>
        </w:trPr>
        <w:tc>
          <w:tcPr>
            <w:tcW w:w="2400" w:type="dxa"/>
            <w:shd w:val="clear" w:color="auto" w:fill="FAFBFC"/>
            <w:tcMar>
              <w:top w:w="80" w:type="dxa"/>
              <w:left w:w="120" w:type="dxa"/>
              <w:bottom w:w="80" w:type="dxa"/>
              <w:right w:w="120" w:type="dxa"/>
            </w:tcMar>
            <w:vAlign w:val="center"/>
          </w:tcPr>
          <w:p w14:paraId="78A68235" w14:textId="77777777" w:rsidR="00F86FAD" w:rsidRDefault="00000000">
            <w:pPr>
              <w:spacing w:after="0" w:line="283" w:lineRule="auto"/>
              <w:jc w:val="left"/>
            </w:pPr>
            <w:r>
              <w:rPr>
                <w:rFonts w:eastAsia="Calibri"/>
                <w:sz w:val="19"/>
              </w:rPr>
              <w:t>Banques</w:t>
            </w:r>
          </w:p>
        </w:tc>
        <w:tc>
          <w:tcPr>
            <w:tcW w:w="2400" w:type="dxa"/>
            <w:shd w:val="clear" w:color="auto" w:fill="FAFBFC"/>
            <w:tcMar>
              <w:top w:w="80" w:type="dxa"/>
              <w:left w:w="120" w:type="dxa"/>
              <w:bottom w:w="80" w:type="dxa"/>
              <w:right w:w="120" w:type="dxa"/>
            </w:tcMar>
            <w:vAlign w:val="center"/>
          </w:tcPr>
          <w:p w14:paraId="26DE2C82" w14:textId="77777777" w:rsidR="00F86FAD" w:rsidRDefault="00000000">
            <w:pPr>
              <w:spacing w:after="0" w:line="283" w:lineRule="auto"/>
              <w:jc w:val="left"/>
            </w:pPr>
            <w:r>
              <w:rPr>
                <w:rFonts w:eastAsia="Calibri"/>
                <w:sz w:val="19"/>
              </w:rPr>
              <w:t>Réaction mixte</w:t>
            </w:r>
          </w:p>
        </w:tc>
        <w:tc>
          <w:tcPr>
            <w:tcW w:w="4560" w:type="dxa"/>
            <w:shd w:val="clear" w:color="auto" w:fill="FAFBFC"/>
            <w:tcMar>
              <w:top w:w="80" w:type="dxa"/>
              <w:left w:w="120" w:type="dxa"/>
              <w:bottom w:w="80" w:type="dxa"/>
              <w:right w:w="120" w:type="dxa"/>
            </w:tcMar>
            <w:vAlign w:val="center"/>
          </w:tcPr>
          <w:p w14:paraId="345E3771" w14:textId="77777777" w:rsidR="00F86FAD" w:rsidRPr="00D72345" w:rsidRDefault="00000000">
            <w:pPr>
              <w:spacing w:after="0" w:line="283" w:lineRule="auto"/>
              <w:jc w:val="left"/>
              <w:rPr>
                <w:lang w:val="fr-FR"/>
              </w:rPr>
            </w:pPr>
            <w:r w:rsidRPr="00D72345">
              <w:rPr>
                <w:rFonts w:eastAsia="Calibri"/>
                <w:sz w:val="19"/>
                <w:lang w:val="fr-FR"/>
              </w:rPr>
              <w:t>Marge d'intérêt, forme de la courbe, dépôts et défauts</w:t>
            </w:r>
          </w:p>
        </w:tc>
      </w:tr>
      <w:tr w:rsidR="00F86FAD" w:rsidRPr="00D72345" w14:paraId="4E261BBD" w14:textId="77777777">
        <w:trPr>
          <w:cantSplit/>
        </w:trPr>
        <w:tc>
          <w:tcPr>
            <w:tcW w:w="2400" w:type="dxa"/>
            <w:tcMar>
              <w:top w:w="80" w:type="dxa"/>
              <w:left w:w="120" w:type="dxa"/>
              <w:bottom w:w="80" w:type="dxa"/>
              <w:right w:w="120" w:type="dxa"/>
            </w:tcMar>
            <w:vAlign w:val="center"/>
          </w:tcPr>
          <w:p w14:paraId="1459499E" w14:textId="77777777" w:rsidR="00F86FAD" w:rsidRDefault="00000000">
            <w:pPr>
              <w:spacing w:after="0" w:line="283" w:lineRule="auto"/>
              <w:jc w:val="left"/>
            </w:pPr>
            <w:r>
              <w:rPr>
                <w:rFonts w:eastAsia="Calibri"/>
                <w:sz w:val="19"/>
              </w:rPr>
              <w:t>Immobilier / utilities</w:t>
            </w:r>
          </w:p>
        </w:tc>
        <w:tc>
          <w:tcPr>
            <w:tcW w:w="2400" w:type="dxa"/>
            <w:tcMar>
              <w:top w:w="80" w:type="dxa"/>
              <w:left w:w="120" w:type="dxa"/>
              <w:bottom w:w="80" w:type="dxa"/>
              <w:right w:w="120" w:type="dxa"/>
            </w:tcMar>
            <w:vAlign w:val="center"/>
          </w:tcPr>
          <w:p w14:paraId="4069F396" w14:textId="77777777" w:rsidR="00F86FAD" w:rsidRDefault="00000000">
            <w:pPr>
              <w:spacing w:after="0" w:line="283" w:lineRule="auto"/>
              <w:jc w:val="left"/>
            </w:pPr>
            <w:r>
              <w:rPr>
                <w:rFonts w:eastAsia="Calibri"/>
                <w:sz w:val="19"/>
              </w:rPr>
              <w:t>Souvent sensible</w:t>
            </w:r>
          </w:p>
        </w:tc>
        <w:tc>
          <w:tcPr>
            <w:tcW w:w="4560" w:type="dxa"/>
            <w:tcMar>
              <w:top w:w="80" w:type="dxa"/>
              <w:left w:w="120" w:type="dxa"/>
              <w:bottom w:w="80" w:type="dxa"/>
              <w:right w:w="120" w:type="dxa"/>
            </w:tcMar>
            <w:vAlign w:val="center"/>
          </w:tcPr>
          <w:p w14:paraId="3BB29C61" w14:textId="77777777" w:rsidR="00F86FAD" w:rsidRPr="00D72345" w:rsidRDefault="00000000">
            <w:pPr>
              <w:spacing w:after="0" w:line="283" w:lineRule="auto"/>
              <w:jc w:val="left"/>
              <w:rPr>
                <w:lang w:val="fr-FR"/>
              </w:rPr>
            </w:pPr>
            <w:r w:rsidRPr="00D72345">
              <w:rPr>
                <w:rFonts w:eastAsia="Calibri"/>
                <w:sz w:val="19"/>
                <w:lang w:val="fr-FR"/>
              </w:rPr>
              <w:t>Dette élevée et concurrence des rendements obligataires</w:t>
            </w:r>
          </w:p>
        </w:tc>
      </w:tr>
      <w:tr w:rsidR="00F86FAD" w14:paraId="6A25D762" w14:textId="77777777">
        <w:trPr>
          <w:cantSplit/>
        </w:trPr>
        <w:tc>
          <w:tcPr>
            <w:tcW w:w="2400" w:type="dxa"/>
            <w:shd w:val="clear" w:color="auto" w:fill="FAFBFC"/>
            <w:tcMar>
              <w:top w:w="80" w:type="dxa"/>
              <w:left w:w="120" w:type="dxa"/>
              <w:bottom w:w="80" w:type="dxa"/>
              <w:right w:w="120" w:type="dxa"/>
            </w:tcMar>
            <w:vAlign w:val="center"/>
          </w:tcPr>
          <w:p w14:paraId="27030E15" w14:textId="77777777" w:rsidR="00F86FAD" w:rsidRDefault="00000000">
            <w:pPr>
              <w:spacing w:after="0" w:line="283" w:lineRule="auto"/>
              <w:jc w:val="left"/>
            </w:pPr>
            <w:proofErr w:type="spellStart"/>
            <w:r>
              <w:rPr>
                <w:rFonts w:eastAsia="Calibri"/>
                <w:sz w:val="19"/>
              </w:rPr>
              <w:t>Cycliques</w:t>
            </w:r>
            <w:proofErr w:type="spellEnd"/>
          </w:p>
        </w:tc>
        <w:tc>
          <w:tcPr>
            <w:tcW w:w="2400" w:type="dxa"/>
            <w:shd w:val="clear" w:color="auto" w:fill="FAFBFC"/>
            <w:tcMar>
              <w:top w:w="80" w:type="dxa"/>
              <w:left w:w="120" w:type="dxa"/>
              <w:bottom w:w="80" w:type="dxa"/>
              <w:right w:w="120" w:type="dxa"/>
            </w:tcMar>
            <w:vAlign w:val="center"/>
          </w:tcPr>
          <w:p w14:paraId="3B400F1A" w14:textId="77777777" w:rsidR="00F86FAD" w:rsidRDefault="00000000">
            <w:pPr>
              <w:spacing w:after="0" w:line="283" w:lineRule="auto"/>
              <w:jc w:val="left"/>
            </w:pPr>
            <w:r>
              <w:rPr>
                <w:rFonts w:eastAsia="Calibri"/>
                <w:sz w:val="19"/>
              </w:rPr>
              <w:t>Sensibles au ralentissement</w:t>
            </w:r>
          </w:p>
        </w:tc>
        <w:tc>
          <w:tcPr>
            <w:tcW w:w="4560" w:type="dxa"/>
            <w:shd w:val="clear" w:color="auto" w:fill="FAFBFC"/>
            <w:tcMar>
              <w:top w:w="80" w:type="dxa"/>
              <w:left w:w="120" w:type="dxa"/>
              <w:bottom w:w="80" w:type="dxa"/>
              <w:right w:w="120" w:type="dxa"/>
            </w:tcMar>
            <w:vAlign w:val="center"/>
          </w:tcPr>
          <w:p w14:paraId="23901943" w14:textId="77777777" w:rsidR="00F86FAD" w:rsidRDefault="00000000">
            <w:pPr>
              <w:spacing w:after="0" w:line="283" w:lineRule="auto"/>
              <w:jc w:val="left"/>
            </w:pPr>
            <w:r>
              <w:rPr>
                <w:rFonts w:eastAsia="Calibri"/>
                <w:sz w:val="19"/>
              </w:rPr>
              <w:t>Demande, crédit et confiance</w:t>
            </w:r>
          </w:p>
        </w:tc>
      </w:tr>
      <w:tr w:rsidR="00F86FAD" w:rsidRPr="00D72345" w14:paraId="6FFAD3D5" w14:textId="77777777">
        <w:trPr>
          <w:cantSplit/>
        </w:trPr>
        <w:tc>
          <w:tcPr>
            <w:tcW w:w="2400" w:type="dxa"/>
            <w:tcMar>
              <w:top w:w="80" w:type="dxa"/>
              <w:left w:w="120" w:type="dxa"/>
              <w:bottom w:w="80" w:type="dxa"/>
              <w:right w:w="120" w:type="dxa"/>
            </w:tcMar>
            <w:vAlign w:val="center"/>
          </w:tcPr>
          <w:p w14:paraId="48C4C5B5" w14:textId="77777777" w:rsidR="00F86FAD" w:rsidRDefault="00000000">
            <w:pPr>
              <w:spacing w:after="0" w:line="283" w:lineRule="auto"/>
              <w:jc w:val="left"/>
            </w:pPr>
            <w:r>
              <w:rPr>
                <w:rFonts w:eastAsia="Calibri"/>
                <w:sz w:val="19"/>
              </w:rPr>
              <w:t>Défensives</w:t>
            </w:r>
          </w:p>
        </w:tc>
        <w:tc>
          <w:tcPr>
            <w:tcW w:w="2400" w:type="dxa"/>
            <w:tcMar>
              <w:top w:w="80" w:type="dxa"/>
              <w:left w:w="120" w:type="dxa"/>
              <w:bottom w:w="80" w:type="dxa"/>
              <w:right w:w="120" w:type="dxa"/>
            </w:tcMar>
            <w:vAlign w:val="center"/>
          </w:tcPr>
          <w:p w14:paraId="3FE19B4D" w14:textId="77777777" w:rsidR="00F86FAD" w:rsidRDefault="00000000">
            <w:pPr>
              <w:spacing w:after="0" w:line="283" w:lineRule="auto"/>
              <w:jc w:val="left"/>
            </w:pPr>
            <w:r>
              <w:rPr>
                <w:rFonts w:eastAsia="Calibri"/>
                <w:sz w:val="19"/>
              </w:rPr>
              <w:t>Parfois plus résistantes</w:t>
            </w:r>
          </w:p>
        </w:tc>
        <w:tc>
          <w:tcPr>
            <w:tcW w:w="4560" w:type="dxa"/>
            <w:tcMar>
              <w:top w:w="80" w:type="dxa"/>
              <w:left w:w="120" w:type="dxa"/>
              <w:bottom w:w="80" w:type="dxa"/>
              <w:right w:w="120" w:type="dxa"/>
            </w:tcMar>
            <w:vAlign w:val="center"/>
          </w:tcPr>
          <w:p w14:paraId="4D0FBE0D" w14:textId="77777777" w:rsidR="00F86FAD" w:rsidRPr="00D72345" w:rsidRDefault="00000000">
            <w:pPr>
              <w:spacing w:after="0" w:line="283" w:lineRule="auto"/>
              <w:jc w:val="left"/>
              <w:rPr>
                <w:lang w:val="fr-FR"/>
              </w:rPr>
            </w:pPr>
            <w:r w:rsidRPr="00D72345">
              <w:rPr>
                <w:rFonts w:eastAsia="Calibri"/>
                <w:sz w:val="19"/>
                <w:lang w:val="fr-FR"/>
              </w:rPr>
              <w:t>Stabilité des revenus, mais valorisation toujours exposée</w:t>
            </w:r>
          </w:p>
        </w:tc>
      </w:tr>
    </w:tbl>
    <w:p w14:paraId="049D8DCA" w14:textId="77777777" w:rsidR="00F86FAD" w:rsidRPr="00D72345" w:rsidRDefault="00F86FAD">
      <w:pPr>
        <w:spacing w:after="100"/>
        <w:rPr>
          <w:lang w:val="fr-FR"/>
        </w:rPr>
      </w:pPr>
    </w:p>
    <w:p w14:paraId="2B553827" w14:textId="77777777" w:rsidR="00F86FAD" w:rsidRPr="00D72345" w:rsidRDefault="00000000">
      <w:pPr>
        <w:rPr>
          <w:lang w:val="fr-FR"/>
        </w:rPr>
      </w:pPr>
      <w:r w:rsidRPr="00D72345">
        <w:rPr>
          <w:lang w:val="fr-FR"/>
        </w:rPr>
        <w:br w:type="page"/>
      </w:r>
    </w:p>
    <w:p w14:paraId="7F580BBA" w14:textId="77777777" w:rsidR="00F86FAD" w:rsidRPr="00D72345" w:rsidRDefault="00000000">
      <w:pPr>
        <w:pStyle w:val="Titre2"/>
        <w:rPr>
          <w:lang w:val="fr-FR"/>
        </w:rPr>
      </w:pPr>
      <w:r w:rsidRPr="00D72345">
        <w:rPr>
          <w:lang w:val="fr-FR"/>
        </w:rPr>
        <w:t>5.4 Devises</w:t>
      </w:r>
    </w:p>
    <w:p w14:paraId="6FC6DD6C" w14:textId="77777777" w:rsidR="00F86FAD" w:rsidRPr="00D72345" w:rsidRDefault="00000000">
      <w:pPr>
        <w:rPr>
          <w:lang w:val="fr-FR"/>
        </w:rPr>
      </w:pPr>
      <w:r w:rsidRPr="00D72345">
        <w:rPr>
          <w:rFonts w:eastAsia="Calibri"/>
          <w:lang w:val="fr-FR"/>
        </w:rPr>
        <w:t>Une devise est toujours cotée contre une autre. Elle dépend donc surtout de la politique relative. Une banque plus restrictive que prévu peut soutenir sa monnaie si le différentiel de rendement devient plus favorable. Mais une hausse motivée par une crise grave peut produire l'effet inverse si les capitaux fuient le pays.</w:t>
      </w:r>
    </w:p>
    <w:p w14:paraId="3B296601" w14:textId="77777777" w:rsidR="00F86FAD" w:rsidRPr="00D72345" w:rsidRDefault="00000000">
      <w:pPr>
        <w:keepLines/>
        <w:pBdr>
          <w:left w:val="single" w:sz="18" w:space="8" w:color="207A4B"/>
        </w:pBdr>
        <w:shd w:val="clear" w:color="auto" w:fill="EAF6EF"/>
        <w:spacing w:before="100" w:after="200" w:line="288" w:lineRule="auto"/>
        <w:ind w:left="173" w:right="115"/>
        <w:rPr>
          <w:lang w:val="fr-FR"/>
        </w:rPr>
      </w:pPr>
      <w:r w:rsidRPr="00D72345">
        <w:rPr>
          <w:rFonts w:eastAsia="Calibri"/>
          <w:b/>
          <w:color w:val="207A4B"/>
          <w:sz w:val="20"/>
          <w:lang w:val="fr-FR"/>
        </w:rPr>
        <w:t xml:space="preserve">RÈGLE DE </w:t>
      </w:r>
      <w:proofErr w:type="gramStart"/>
      <w:r w:rsidRPr="00D72345">
        <w:rPr>
          <w:rFonts w:eastAsia="Calibri"/>
          <w:b/>
          <w:color w:val="207A4B"/>
          <w:sz w:val="20"/>
          <w:lang w:val="fr-FR"/>
        </w:rPr>
        <w:t xml:space="preserve">LECTURE  </w:t>
      </w:r>
      <w:r w:rsidRPr="00D72345">
        <w:rPr>
          <w:rFonts w:eastAsia="Calibri"/>
          <w:sz w:val="21"/>
          <w:lang w:val="fr-FR"/>
        </w:rPr>
        <w:t>Pour</w:t>
      </w:r>
      <w:proofErr w:type="gramEnd"/>
      <w:r w:rsidRPr="00D72345">
        <w:rPr>
          <w:rFonts w:eastAsia="Calibri"/>
          <w:sz w:val="21"/>
          <w:lang w:val="fr-FR"/>
        </w:rPr>
        <w:t xml:space="preserve"> une paire comme EUR/USD ou USD/JPY, analyse les deux banques centrales. Une devise ne se renforce pas dans le vide : elle se renforce par rapport à une autre.</w:t>
      </w:r>
    </w:p>
    <w:p w14:paraId="3E3B1240" w14:textId="77777777" w:rsidR="00F86FAD" w:rsidRDefault="00000000">
      <w:pPr>
        <w:pStyle w:val="Titre2"/>
      </w:pPr>
      <w:r>
        <w:t>5.5 Or, matières premières et cryptoactifs</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200"/>
        <w:gridCol w:w="3150"/>
        <w:gridCol w:w="4010"/>
      </w:tblGrid>
      <w:tr w:rsidR="00F86FAD" w:rsidRPr="00D72345" w14:paraId="57B220F2" w14:textId="77777777">
        <w:trPr>
          <w:cantSplit/>
          <w:tblHeader/>
        </w:trPr>
        <w:tc>
          <w:tcPr>
            <w:tcW w:w="2200" w:type="dxa"/>
            <w:shd w:val="clear" w:color="auto" w:fill="F4F6F9"/>
            <w:tcMar>
              <w:top w:w="80" w:type="dxa"/>
              <w:left w:w="120" w:type="dxa"/>
              <w:bottom w:w="80" w:type="dxa"/>
              <w:right w:w="120" w:type="dxa"/>
            </w:tcMar>
            <w:vAlign w:val="center"/>
          </w:tcPr>
          <w:p w14:paraId="7B37EB93" w14:textId="77777777" w:rsidR="00F86FAD" w:rsidRDefault="00000000">
            <w:pPr>
              <w:spacing w:after="0" w:line="283" w:lineRule="auto"/>
              <w:jc w:val="left"/>
            </w:pPr>
            <w:r>
              <w:rPr>
                <w:rFonts w:eastAsia="Calibri"/>
                <w:b/>
                <w:color w:val="0B2545"/>
                <w:sz w:val="19"/>
              </w:rPr>
              <w:t>Actif</w:t>
            </w:r>
          </w:p>
        </w:tc>
        <w:tc>
          <w:tcPr>
            <w:tcW w:w="3150" w:type="dxa"/>
            <w:shd w:val="clear" w:color="auto" w:fill="F4F6F9"/>
            <w:tcMar>
              <w:top w:w="80" w:type="dxa"/>
              <w:left w:w="120" w:type="dxa"/>
              <w:bottom w:w="80" w:type="dxa"/>
              <w:right w:w="120" w:type="dxa"/>
            </w:tcMar>
            <w:vAlign w:val="center"/>
          </w:tcPr>
          <w:p w14:paraId="2B556DCD" w14:textId="77777777" w:rsidR="00F86FAD" w:rsidRDefault="00000000">
            <w:pPr>
              <w:spacing w:after="0" w:line="283" w:lineRule="auto"/>
              <w:jc w:val="left"/>
            </w:pPr>
            <w:r>
              <w:rPr>
                <w:rFonts w:eastAsia="Calibri"/>
                <w:b/>
                <w:color w:val="0B2545"/>
                <w:sz w:val="19"/>
              </w:rPr>
              <w:t>Canal monétaire important</w:t>
            </w:r>
          </w:p>
        </w:tc>
        <w:tc>
          <w:tcPr>
            <w:tcW w:w="4010" w:type="dxa"/>
            <w:shd w:val="clear" w:color="auto" w:fill="F4F6F9"/>
            <w:tcMar>
              <w:top w:w="80" w:type="dxa"/>
              <w:left w:w="120" w:type="dxa"/>
              <w:bottom w:w="80" w:type="dxa"/>
              <w:right w:w="120" w:type="dxa"/>
            </w:tcMar>
            <w:vAlign w:val="center"/>
          </w:tcPr>
          <w:p w14:paraId="07620DA5" w14:textId="77777777" w:rsidR="00F86FAD" w:rsidRPr="00D72345" w:rsidRDefault="00000000">
            <w:pPr>
              <w:spacing w:after="0" w:line="283" w:lineRule="auto"/>
              <w:jc w:val="left"/>
              <w:rPr>
                <w:lang w:val="fr-FR"/>
              </w:rPr>
            </w:pPr>
            <w:r w:rsidRPr="00D72345">
              <w:rPr>
                <w:rFonts w:eastAsia="Calibri"/>
                <w:b/>
                <w:color w:val="0B2545"/>
                <w:sz w:val="19"/>
                <w:lang w:val="fr-FR"/>
              </w:rPr>
              <w:t>Pourquoi la réaction peut différer</w:t>
            </w:r>
          </w:p>
        </w:tc>
      </w:tr>
      <w:tr w:rsidR="00F86FAD" w:rsidRPr="00D72345" w14:paraId="0D3D4F1F" w14:textId="77777777">
        <w:trPr>
          <w:cantSplit/>
        </w:trPr>
        <w:tc>
          <w:tcPr>
            <w:tcW w:w="2200" w:type="dxa"/>
            <w:tcMar>
              <w:top w:w="80" w:type="dxa"/>
              <w:left w:w="120" w:type="dxa"/>
              <w:bottom w:w="80" w:type="dxa"/>
              <w:right w:w="120" w:type="dxa"/>
            </w:tcMar>
            <w:vAlign w:val="center"/>
          </w:tcPr>
          <w:p w14:paraId="67A6D1FB" w14:textId="77777777" w:rsidR="00F86FAD" w:rsidRDefault="00000000">
            <w:pPr>
              <w:spacing w:after="0" w:line="283" w:lineRule="auto"/>
              <w:jc w:val="left"/>
            </w:pPr>
            <w:r>
              <w:rPr>
                <w:rFonts w:eastAsia="Calibri"/>
                <w:sz w:val="19"/>
              </w:rPr>
              <w:t>Or</w:t>
            </w:r>
          </w:p>
        </w:tc>
        <w:tc>
          <w:tcPr>
            <w:tcW w:w="3150" w:type="dxa"/>
            <w:tcMar>
              <w:top w:w="80" w:type="dxa"/>
              <w:left w:w="120" w:type="dxa"/>
              <w:bottom w:w="80" w:type="dxa"/>
              <w:right w:w="120" w:type="dxa"/>
            </w:tcMar>
            <w:vAlign w:val="center"/>
          </w:tcPr>
          <w:p w14:paraId="05D283DF" w14:textId="77777777" w:rsidR="00F86FAD" w:rsidRDefault="00000000">
            <w:pPr>
              <w:spacing w:after="0" w:line="283" w:lineRule="auto"/>
              <w:jc w:val="left"/>
            </w:pPr>
            <w:r>
              <w:rPr>
                <w:rFonts w:eastAsia="Calibri"/>
                <w:sz w:val="19"/>
              </w:rPr>
              <w:t>Taux réels et dollar</w:t>
            </w:r>
          </w:p>
        </w:tc>
        <w:tc>
          <w:tcPr>
            <w:tcW w:w="4010" w:type="dxa"/>
            <w:tcMar>
              <w:top w:w="80" w:type="dxa"/>
              <w:left w:w="120" w:type="dxa"/>
              <w:bottom w:w="80" w:type="dxa"/>
              <w:right w:w="120" w:type="dxa"/>
            </w:tcMar>
            <w:vAlign w:val="center"/>
          </w:tcPr>
          <w:p w14:paraId="7819B4E3" w14:textId="77777777" w:rsidR="00F86FAD" w:rsidRPr="00D72345" w:rsidRDefault="00000000">
            <w:pPr>
              <w:spacing w:after="0" w:line="283" w:lineRule="auto"/>
              <w:jc w:val="left"/>
              <w:rPr>
                <w:lang w:val="fr-FR"/>
              </w:rPr>
            </w:pPr>
            <w:r w:rsidRPr="00D72345">
              <w:rPr>
                <w:rFonts w:eastAsia="Calibri"/>
                <w:sz w:val="19"/>
                <w:lang w:val="fr-FR"/>
              </w:rPr>
              <w:t>Risque géopolitique, inflation et demande de refuge peuvent dominer</w:t>
            </w:r>
          </w:p>
        </w:tc>
      </w:tr>
      <w:tr w:rsidR="00F86FAD" w:rsidRPr="00D72345" w14:paraId="49CD4EE2" w14:textId="77777777">
        <w:trPr>
          <w:cantSplit/>
        </w:trPr>
        <w:tc>
          <w:tcPr>
            <w:tcW w:w="2200" w:type="dxa"/>
            <w:shd w:val="clear" w:color="auto" w:fill="FAFBFC"/>
            <w:tcMar>
              <w:top w:w="80" w:type="dxa"/>
              <w:left w:w="120" w:type="dxa"/>
              <w:bottom w:w="80" w:type="dxa"/>
              <w:right w:w="120" w:type="dxa"/>
            </w:tcMar>
            <w:vAlign w:val="center"/>
          </w:tcPr>
          <w:p w14:paraId="0411060C" w14:textId="77777777" w:rsidR="00F86FAD" w:rsidRDefault="00000000">
            <w:pPr>
              <w:spacing w:after="0" w:line="283" w:lineRule="auto"/>
              <w:jc w:val="left"/>
            </w:pPr>
            <w:r>
              <w:rPr>
                <w:rFonts w:eastAsia="Calibri"/>
                <w:sz w:val="19"/>
              </w:rPr>
              <w:t>Pétrole / matières premières</w:t>
            </w:r>
          </w:p>
        </w:tc>
        <w:tc>
          <w:tcPr>
            <w:tcW w:w="3150" w:type="dxa"/>
            <w:shd w:val="clear" w:color="auto" w:fill="FAFBFC"/>
            <w:tcMar>
              <w:top w:w="80" w:type="dxa"/>
              <w:left w:w="120" w:type="dxa"/>
              <w:bottom w:w="80" w:type="dxa"/>
              <w:right w:w="120" w:type="dxa"/>
            </w:tcMar>
            <w:vAlign w:val="center"/>
          </w:tcPr>
          <w:p w14:paraId="1C21AD2A" w14:textId="77777777" w:rsidR="00F86FAD" w:rsidRDefault="00000000">
            <w:pPr>
              <w:spacing w:after="0" w:line="283" w:lineRule="auto"/>
              <w:jc w:val="left"/>
            </w:pPr>
            <w:r>
              <w:rPr>
                <w:rFonts w:eastAsia="Calibri"/>
                <w:sz w:val="19"/>
              </w:rPr>
              <w:t>Dollar, croissance et financement</w:t>
            </w:r>
          </w:p>
        </w:tc>
        <w:tc>
          <w:tcPr>
            <w:tcW w:w="4010" w:type="dxa"/>
            <w:shd w:val="clear" w:color="auto" w:fill="FAFBFC"/>
            <w:tcMar>
              <w:top w:w="80" w:type="dxa"/>
              <w:left w:w="120" w:type="dxa"/>
              <w:bottom w:w="80" w:type="dxa"/>
              <w:right w:w="120" w:type="dxa"/>
            </w:tcMar>
            <w:vAlign w:val="center"/>
          </w:tcPr>
          <w:p w14:paraId="52FCDD94" w14:textId="77777777" w:rsidR="00F86FAD" w:rsidRPr="00D72345" w:rsidRDefault="00000000">
            <w:pPr>
              <w:spacing w:after="0" w:line="283" w:lineRule="auto"/>
              <w:jc w:val="left"/>
              <w:rPr>
                <w:lang w:val="fr-FR"/>
              </w:rPr>
            </w:pPr>
            <w:r w:rsidRPr="00D72345">
              <w:rPr>
                <w:rFonts w:eastAsia="Calibri"/>
                <w:sz w:val="19"/>
                <w:lang w:val="fr-FR"/>
              </w:rPr>
              <w:t>L'offre physique et la géopolitique dominent souvent</w:t>
            </w:r>
          </w:p>
        </w:tc>
      </w:tr>
      <w:tr w:rsidR="00F86FAD" w:rsidRPr="00D72345" w14:paraId="4CCE20C1" w14:textId="77777777">
        <w:trPr>
          <w:cantSplit/>
        </w:trPr>
        <w:tc>
          <w:tcPr>
            <w:tcW w:w="2200" w:type="dxa"/>
            <w:tcMar>
              <w:top w:w="80" w:type="dxa"/>
              <w:left w:w="120" w:type="dxa"/>
              <w:bottom w:w="80" w:type="dxa"/>
              <w:right w:w="120" w:type="dxa"/>
            </w:tcMar>
            <w:vAlign w:val="center"/>
          </w:tcPr>
          <w:p w14:paraId="6457FEF4" w14:textId="77777777" w:rsidR="00F86FAD" w:rsidRDefault="00000000">
            <w:pPr>
              <w:spacing w:after="0" w:line="283" w:lineRule="auto"/>
              <w:jc w:val="left"/>
            </w:pPr>
            <w:r>
              <w:rPr>
                <w:rFonts w:eastAsia="Calibri"/>
                <w:sz w:val="19"/>
              </w:rPr>
              <w:t>Cryptoactifs</w:t>
            </w:r>
          </w:p>
        </w:tc>
        <w:tc>
          <w:tcPr>
            <w:tcW w:w="3150" w:type="dxa"/>
            <w:tcMar>
              <w:top w:w="80" w:type="dxa"/>
              <w:left w:w="120" w:type="dxa"/>
              <w:bottom w:w="80" w:type="dxa"/>
              <w:right w:w="120" w:type="dxa"/>
            </w:tcMar>
            <w:vAlign w:val="center"/>
          </w:tcPr>
          <w:p w14:paraId="1EDCC217" w14:textId="77777777" w:rsidR="00F86FAD" w:rsidRPr="00D72345" w:rsidRDefault="00000000">
            <w:pPr>
              <w:spacing w:after="0" w:line="283" w:lineRule="auto"/>
              <w:jc w:val="left"/>
              <w:rPr>
                <w:lang w:val="fr-FR"/>
              </w:rPr>
            </w:pPr>
            <w:r w:rsidRPr="00D72345">
              <w:rPr>
                <w:rFonts w:eastAsia="Calibri"/>
                <w:sz w:val="19"/>
                <w:lang w:val="fr-FR"/>
              </w:rPr>
              <w:t>Liquidité mondiale et appétit pour le risque</w:t>
            </w:r>
          </w:p>
        </w:tc>
        <w:tc>
          <w:tcPr>
            <w:tcW w:w="4010" w:type="dxa"/>
            <w:tcMar>
              <w:top w:w="80" w:type="dxa"/>
              <w:left w:w="120" w:type="dxa"/>
              <w:bottom w:w="80" w:type="dxa"/>
              <w:right w:w="120" w:type="dxa"/>
            </w:tcMar>
            <w:vAlign w:val="center"/>
          </w:tcPr>
          <w:p w14:paraId="160EB1F7" w14:textId="77777777" w:rsidR="00F86FAD" w:rsidRPr="00D72345" w:rsidRDefault="00000000">
            <w:pPr>
              <w:spacing w:after="0" w:line="283" w:lineRule="auto"/>
              <w:jc w:val="left"/>
              <w:rPr>
                <w:lang w:val="fr-FR"/>
              </w:rPr>
            </w:pPr>
            <w:r w:rsidRPr="00D72345">
              <w:rPr>
                <w:rFonts w:eastAsia="Calibri"/>
                <w:sz w:val="19"/>
                <w:lang w:val="fr-FR"/>
              </w:rPr>
              <w:t>Structure propre du marché, réglementation et levier amplifient les mouvements</w:t>
            </w:r>
          </w:p>
        </w:tc>
      </w:tr>
    </w:tbl>
    <w:p w14:paraId="1ACB65A8" w14:textId="77777777" w:rsidR="00F86FAD" w:rsidRPr="00D72345" w:rsidRDefault="00F86FAD">
      <w:pPr>
        <w:spacing w:after="100"/>
        <w:rPr>
          <w:lang w:val="fr-FR"/>
        </w:rPr>
      </w:pPr>
    </w:p>
    <w:p w14:paraId="080793D5" w14:textId="77777777" w:rsidR="00F86FAD" w:rsidRPr="00D72345" w:rsidRDefault="00000000">
      <w:pPr>
        <w:pStyle w:val="Titre2"/>
        <w:rPr>
          <w:lang w:val="fr-FR"/>
        </w:rPr>
      </w:pPr>
      <w:r w:rsidRPr="00D72345">
        <w:rPr>
          <w:lang w:val="fr-FR"/>
        </w:rPr>
        <w:t>5.6 Pourquoi une baisse de taux peut faire baisser les actions</w:t>
      </w:r>
    </w:p>
    <w:p w14:paraId="25BF15E4" w14:textId="77777777" w:rsidR="00F86FAD" w:rsidRPr="00D72345" w:rsidRDefault="00000000">
      <w:pPr>
        <w:rPr>
          <w:lang w:val="fr-FR"/>
        </w:rPr>
      </w:pPr>
      <w:r w:rsidRPr="00D72345">
        <w:rPr>
          <w:rFonts w:eastAsia="Calibri"/>
          <w:lang w:val="fr-FR"/>
        </w:rPr>
        <w:t>Si la baisse était attendue, elle est déjà intégrée. Si elle est plus faible que prévu, le marché peut être déçu. Si elle est décidée en urgence, elle peut signaler que la banque centrale voit un danger plus grave que les investisseurs. Enfin, une baisse peut faire monter les rendements longs si elle alimente les craintes d'inflation.</w:t>
      </w:r>
    </w:p>
    <w:p w14:paraId="2EB7988E" w14:textId="77777777" w:rsidR="00F86FAD" w:rsidRPr="00D72345" w:rsidRDefault="00000000">
      <w:pPr>
        <w:keepLines/>
        <w:pBdr>
          <w:left w:val="single" w:sz="18" w:space="8" w:color="8A6400"/>
        </w:pBdr>
        <w:shd w:val="clear" w:color="auto" w:fill="FFF7DD"/>
        <w:spacing w:before="100" w:after="200" w:line="288" w:lineRule="auto"/>
        <w:ind w:left="173" w:right="115"/>
        <w:rPr>
          <w:lang w:val="fr-FR"/>
        </w:rPr>
      </w:pPr>
      <w:r w:rsidRPr="00D72345">
        <w:rPr>
          <w:rFonts w:eastAsia="Calibri"/>
          <w:b/>
          <w:color w:val="8A6400"/>
          <w:sz w:val="20"/>
          <w:lang w:val="fr-FR"/>
        </w:rPr>
        <w:t xml:space="preserve">CONCLUSION DE </w:t>
      </w:r>
      <w:proofErr w:type="gramStart"/>
      <w:r w:rsidRPr="00D72345">
        <w:rPr>
          <w:rFonts w:eastAsia="Calibri"/>
          <w:b/>
          <w:color w:val="8A6400"/>
          <w:sz w:val="20"/>
          <w:lang w:val="fr-FR"/>
        </w:rPr>
        <w:t xml:space="preserve">MARCHÉ  </w:t>
      </w:r>
      <w:r w:rsidRPr="00D72345">
        <w:rPr>
          <w:rFonts w:eastAsia="Calibri"/>
          <w:sz w:val="21"/>
          <w:lang w:val="fr-FR"/>
        </w:rPr>
        <w:t>Ne</w:t>
      </w:r>
      <w:proofErr w:type="gramEnd"/>
      <w:r w:rsidRPr="00D72345">
        <w:rPr>
          <w:rFonts w:eastAsia="Calibri"/>
          <w:sz w:val="21"/>
          <w:lang w:val="fr-FR"/>
        </w:rPr>
        <w:t xml:space="preserve"> mémorise pas « baisse des taux = hausse des actions ». Demande : pourquoi la banque agit-elle, qu'attendait le marché et quelle trajectoire est désormais intégrée ?</w:t>
      </w:r>
    </w:p>
    <w:p w14:paraId="5464596D" w14:textId="77777777" w:rsidR="00F86FAD" w:rsidRDefault="00000000">
      <w:pPr>
        <w:pStyle w:val="Titre2"/>
      </w:pPr>
      <w:r>
        <w:t>5.7 Réaction immédiate et tendance durable</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000"/>
        <w:gridCol w:w="4100"/>
        <w:gridCol w:w="3260"/>
      </w:tblGrid>
      <w:tr w:rsidR="00F86FAD" w14:paraId="025C2BB1" w14:textId="77777777">
        <w:trPr>
          <w:cantSplit/>
          <w:tblHeader/>
        </w:trPr>
        <w:tc>
          <w:tcPr>
            <w:tcW w:w="2000" w:type="dxa"/>
            <w:shd w:val="clear" w:color="auto" w:fill="F4F6F9"/>
            <w:tcMar>
              <w:top w:w="80" w:type="dxa"/>
              <w:left w:w="120" w:type="dxa"/>
              <w:bottom w:w="80" w:type="dxa"/>
              <w:right w:w="120" w:type="dxa"/>
            </w:tcMar>
            <w:vAlign w:val="center"/>
          </w:tcPr>
          <w:p w14:paraId="28C77C45" w14:textId="77777777" w:rsidR="00F86FAD" w:rsidRDefault="00000000">
            <w:pPr>
              <w:spacing w:after="0" w:line="283" w:lineRule="auto"/>
              <w:jc w:val="left"/>
            </w:pPr>
            <w:r>
              <w:rPr>
                <w:rFonts w:eastAsia="Calibri"/>
                <w:b/>
                <w:color w:val="0B2545"/>
                <w:sz w:val="19"/>
              </w:rPr>
              <w:t>Horizon</w:t>
            </w:r>
          </w:p>
        </w:tc>
        <w:tc>
          <w:tcPr>
            <w:tcW w:w="4100" w:type="dxa"/>
            <w:shd w:val="clear" w:color="auto" w:fill="F4F6F9"/>
            <w:tcMar>
              <w:top w:w="80" w:type="dxa"/>
              <w:left w:w="120" w:type="dxa"/>
              <w:bottom w:w="80" w:type="dxa"/>
              <w:right w:w="120" w:type="dxa"/>
            </w:tcMar>
            <w:vAlign w:val="center"/>
          </w:tcPr>
          <w:p w14:paraId="07F73C76" w14:textId="77777777" w:rsidR="00F86FAD" w:rsidRDefault="00000000">
            <w:pPr>
              <w:spacing w:after="0" w:line="283" w:lineRule="auto"/>
              <w:jc w:val="left"/>
            </w:pPr>
            <w:r>
              <w:rPr>
                <w:rFonts w:eastAsia="Calibri"/>
                <w:b/>
                <w:color w:val="0B2545"/>
                <w:sz w:val="19"/>
              </w:rPr>
              <w:t>Ce qui domine</w:t>
            </w:r>
          </w:p>
        </w:tc>
        <w:tc>
          <w:tcPr>
            <w:tcW w:w="3260" w:type="dxa"/>
            <w:shd w:val="clear" w:color="auto" w:fill="F4F6F9"/>
            <w:tcMar>
              <w:top w:w="80" w:type="dxa"/>
              <w:left w:w="120" w:type="dxa"/>
              <w:bottom w:w="80" w:type="dxa"/>
              <w:right w:w="120" w:type="dxa"/>
            </w:tcMar>
            <w:vAlign w:val="center"/>
          </w:tcPr>
          <w:p w14:paraId="32D722BB" w14:textId="77777777" w:rsidR="00F86FAD" w:rsidRDefault="00000000">
            <w:pPr>
              <w:spacing w:after="0" w:line="283" w:lineRule="auto"/>
              <w:jc w:val="left"/>
            </w:pPr>
            <w:r>
              <w:rPr>
                <w:rFonts w:eastAsia="Calibri"/>
                <w:b/>
                <w:color w:val="0B2545"/>
                <w:sz w:val="19"/>
              </w:rPr>
              <w:t>Erreur typique</w:t>
            </w:r>
          </w:p>
        </w:tc>
      </w:tr>
      <w:tr w:rsidR="00F86FAD" w:rsidRPr="00D72345" w14:paraId="79F27245" w14:textId="77777777">
        <w:trPr>
          <w:cantSplit/>
        </w:trPr>
        <w:tc>
          <w:tcPr>
            <w:tcW w:w="2000" w:type="dxa"/>
            <w:tcMar>
              <w:top w:w="80" w:type="dxa"/>
              <w:left w:w="120" w:type="dxa"/>
              <w:bottom w:w="80" w:type="dxa"/>
              <w:right w:w="120" w:type="dxa"/>
            </w:tcMar>
            <w:vAlign w:val="center"/>
          </w:tcPr>
          <w:p w14:paraId="2504CAEB" w14:textId="77777777" w:rsidR="00F86FAD" w:rsidRDefault="00000000">
            <w:pPr>
              <w:spacing w:after="0" w:line="283" w:lineRule="auto"/>
              <w:jc w:val="left"/>
            </w:pPr>
            <w:r>
              <w:rPr>
                <w:rFonts w:eastAsia="Calibri"/>
                <w:sz w:val="19"/>
              </w:rPr>
              <w:t>Premières secondes</w:t>
            </w:r>
          </w:p>
        </w:tc>
        <w:tc>
          <w:tcPr>
            <w:tcW w:w="4100" w:type="dxa"/>
            <w:tcMar>
              <w:top w:w="80" w:type="dxa"/>
              <w:left w:w="120" w:type="dxa"/>
              <w:bottom w:w="80" w:type="dxa"/>
              <w:right w:w="120" w:type="dxa"/>
            </w:tcMar>
            <w:vAlign w:val="center"/>
          </w:tcPr>
          <w:p w14:paraId="43E953E4" w14:textId="77777777" w:rsidR="00F86FAD" w:rsidRPr="00D72345" w:rsidRDefault="00000000">
            <w:pPr>
              <w:spacing w:after="0" w:line="283" w:lineRule="auto"/>
              <w:jc w:val="left"/>
              <w:rPr>
                <w:lang w:val="fr-FR"/>
              </w:rPr>
            </w:pPr>
            <w:r w:rsidRPr="00D72345">
              <w:rPr>
                <w:rFonts w:eastAsia="Calibri"/>
                <w:sz w:val="19"/>
                <w:lang w:val="fr-FR"/>
              </w:rPr>
              <w:t>Algorithmes, titre de décision et écart au consensus</w:t>
            </w:r>
          </w:p>
        </w:tc>
        <w:tc>
          <w:tcPr>
            <w:tcW w:w="3260" w:type="dxa"/>
            <w:tcMar>
              <w:top w:w="80" w:type="dxa"/>
              <w:left w:w="120" w:type="dxa"/>
              <w:bottom w:w="80" w:type="dxa"/>
              <w:right w:w="120" w:type="dxa"/>
            </w:tcMar>
            <w:vAlign w:val="center"/>
          </w:tcPr>
          <w:p w14:paraId="69443D59" w14:textId="77777777" w:rsidR="00F86FAD" w:rsidRPr="00D72345" w:rsidRDefault="00000000">
            <w:pPr>
              <w:spacing w:after="0" w:line="283" w:lineRule="auto"/>
              <w:jc w:val="left"/>
              <w:rPr>
                <w:lang w:val="fr-FR"/>
              </w:rPr>
            </w:pPr>
            <w:r w:rsidRPr="00D72345">
              <w:rPr>
                <w:rFonts w:eastAsia="Calibri"/>
                <w:sz w:val="19"/>
                <w:lang w:val="fr-FR"/>
              </w:rPr>
              <w:t>Croire que le premier mouvement est définitif</w:t>
            </w:r>
          </w:p>
        </w:tc>
      </w:tr>
      <w:tr w:rsidR="00F86FAD" w:rsidRPr="00D72345" w14:paraId="27500E20" w14:textId="77777777">
        <w:trPr>
          <w:cantSplit/>
        </w:trPr>
        <w:tc>
          <w:tcPr>
            <w:tcW w:w="2000" w:type="dxa"/>
            <w:shd w:val="clear" w:color="auto" w:fill="FAFBFC"/>
            <w:tcMar>
              <w:top w:w="80" w:type="dxa"/>
              <w:left w:w="120" w:type="dxa"/>
              <w:bottom w:w="80" w:type="dxa"/>
              <w:right w:w="120" w:type="dxa"/>
            </w:tcMar>
            <w:vAlign w:val="center"/>
          </w:tcPr>
          <w:p w14:paraId="6516B355" w14:textId="77777777" w:rsidR="00F86FAD" w:rsidRDefault="00000000">
            <w:pPr>
              <w:spacing w:after="0" w:line="283" w:lineRule="auto"/>
              <w:jc w:val="left"/>
            </w:pPr>
            <w:r>
              <w:rPr>
                <w:rFonts w:eastAsia="Calibri"/>
                <w:sz w:val="19"/>
              </w:rPr>
              <w:t>Conférence de presse</w:t>
            </w:r>
          </w:p>
        </w:tc>
        <w:tc>
          <w:tcPr>
            <w:tcW w:w="4100" w:type="dxa"/>
            <w:shd w:val="clear" w:color="auto" w:fill="FAFBFC"/>
            <w:tcMar>
              <w:top w:w="80" w:type="dxa"/>
              <w:left w:w="120" w:type="dxa"/>
              <w:bottom w:w="80" w:type="dxa"/>
              <w:right w:w="120" w:type="dxa"/>
            </w:tcMar>
            <w:vAlign w:val="center"/>
          </w:tcPr>
          <w:p w14:paraId="32EA9DDE" w14:textId="77777777" w:rsidR="00F86FAD" w:rsidRPr="00D72345" w:rsidRDefault="00000000">
            <w:pPr>
              <w:spacing w:after="0" w:line="283" w:lineRule="auto"/>
              <w:jc w:val="left"/>
              <w:rPr>
                <w:lang w:val="fr-FR"/>
              </w:rPr>
            </w:pPr>
            <w:r w:rsidRPr="00D72345">
              <w:rPr>
                <w:rFonts w:eastAsia="Calibri"/>
                <w:sz w:val="19"/>
                <w:lang w:val="fr-FR"/>
              </w:rPr>
              <w:t>Nuances, questions et fonction de réaction</w:t>
            </w:r>
          </w:p>
        </w:tc>
        <w:tc>
          <w:tcPr>
            <w:tcW w:w="3260" w:type="dxa"/>
            <w:shd w:val="clear" w:color="auto" w:fill="FAFBFC"/>
            <w:tcMar>
              <w:top w:w="80" w:type="dxa"/>
              <w:left w:w="120" w:type="dxa"/>
              <w:bottom w:w="80" w:type="dxa"/>
              <w:right w:w="120" w:type="dxa"/>
            </w:tcMar>
            <w:vAlign w:val="center"/>
          </w:tcPr>
          <w:p w14:paraId="6DB72D41" w14:textId="77777777" w:rsidR="00F86FAD" w:rsidRPr="00D72345" w:rsidRDefault="00000000">
            <w:pPr>
              <w:spacing w:after="0" w:line="283" w:lineRule="auto"/>
              <w:jc w:val="left"/>
              <w:rPr>
                <w:lang w:val="fr-FR"/>
              </w:rPr>
            </w:pPr>
            <w:r w:rsidRPr="00D72345">
              <w:rPr>
                <w:rFonts w:eastAsia="Calibri"/>
                <w:sz w:val="19"/>
                <w:lang w:val="fr-FR"/>
              </w:rPr>
              <w:t>Ignorer un retournement après le communiqué</w:t>
            </w:r>
          </w:p>
        </w:tc>
      </w:tr>
      <w:tr w:rsidR="00F86FAD" w:rsidRPr="00D72345" w14:paraId="4EEFBFCD" w14:textId="77777777">
        <w:trPr>
          <w:cantSplit/>
        </w:trPr>
        <w:tc>
          <w:tcPr>
            <w:tcW w:w="2000" w:type="dxa"/>
            <w:tcMar>
              <w:top w:w="80" w:type="dxa"/>
              <w:left w:w="120" w:type="dxa"/>
              <w:bottom w:w="80" w:type="dxa"/>
              <w:right w:w="120" w:type="dxa"/>
            </w:tcMar>
            <w:vAlign w:val="center"/>
          </w:tcPr>
          <w:p w14:paraId="453AB0AD" w14:textId="77777777" w:rsidR="00F86FAD" w:rsidRDefault="00000000">
            <w:pPr>
              <w:spacing w:after="0" w:line="283" w:lineRule="auto"/>
              <w:jc w:val="left"/>
            </w:pPr>
            <w:r>
              <w:rPr>
                <w:rFonts w:eastAsia="Calibri"/>
                <w:sz w:val="19"/>
              </w:rPr>
              <w:t>Jours suivants</w:t>
            </w:r>
          </w:p>
        </w:tc>
        <w:tc>
          <w:tcPr>
            <w:tcW w:w="4100" w:type="dxa"/>
            <w:tcMar>
              <w:top w:w="80" w:type="dxa"/>
              <w:left w:w="120" w:type="dxa"/>
              <w:bottom w:w="80" w:type="dxa"/>
              <w:right w:w="120" w:type="dxa"/>
            </w:tcMar>
            <w:vAlign w:val="center"/>
          </w:tcPr>
          <w:p w14:paraId="7798A886" w14:textId="77777777" w:rsidR="00F86FAD" w:rsidRDefault="00000000">
            <w:pPr>
              <w:spacing w:after="0" w:line="283" w:lineRule="auto"/>
              <w:jc w:val="left"/>
            </w:pPr>
            <w:r>
              <w:rPr>
                <w:rFonts w:eastAsia="Calibri"/>
                <w:sz w:val="19"/>
              </w:rPr>
              <w:t>Relecture, données et repositionnement</w:t>
            </w:r>
          </w:p>
        </w:tc>
        <w:tc>
          <w:tcPr>
            <w:tcW w:w="3260" w:type="dxa"/>
            <w:tcMar>
              <w:top w:w="80" w:type="dxa"/>
              <w:left w:w="120" w:type="dxa"/>
              <w:bottom w:w="80" w:type="dxa"/>
              <w:right w:w="120" w:type="dxa"/>
            </w:tcMar>
            <w:vAlign w:val="center"/>
          </w:tcPr>
          <w:p w14:paraId="3686080E" w14:textId="77777777" w:rsidR="00F86FAD" w:rsidRPr="00D72345" w:rsidRDefault="00000000">
            <w:pPr>
              <w:spacing w:after="0" w:line="283" w:lineRule="auto"/>
              <w:jc w:val="left"/>
              <w:rPr>
                <w:lang w:val="fr-FR"/>
              </w:rPr>
            </w:pPr>
            <w:r w:rsidRPr="00D72345">
              <w:rPr>
                <w:rFonts w:eastAsia="Calibri"/>
                <w:sz w:val="19"/>
                <w:lang w:val="fr-FR"/>
              </w:rPr>
              <w:t>Attribuer tout le mouvement à un seul événement</w:t>
            </w:r>
          </w:p>
        </w:tc>
      </w:tr>
      <w:tr w:rsidR="00F86FAD" w14:paraId="3FEAD9C3" w14:textId="77777777">
        <w:trPr>
          <w:cantSplit/>
        </w:trPr>
        <w:tc>
          <w:tcPr>
            <w:tcW w:w="2000" w:type="dxa"/>
            <w:shd w:val="clear" w:color="auto" w:fill="FAFBFC"/>
            <w:tcMar>
              <w:top w:w="80" w:type="dxa"/>
              <w:left w:w="120" w:type="dxa"/>
              <w:bottom w:w="80" w:type="dxa"/>
              <w:right w:w="120" w:type="dxa"/>
            </w:tcMar>
            <w:vAlign w:val="center"/>
          </w:tcPr>
          <w:p w14:paraId="5E9DF695" w14:textId="77777777" w:rsidR="00F86FAD" w:rsidRDefault="00000000">
            <w:pPr>
              <w:spacing w:after="0" w:line="283" w:lineRule="auto"/>
              <w:jc w:val="left"/>
            </w:pPr>
            <w:r>
              <w:rPr>
                <w:rFonts w:eastAsia="Calibri"/>
                <w:sz w:val="19"/>
              </w:rPr>
              <w:t>Mois suivants</w:t>
            </w:r>
          </w:p>
        </w:tc>
        <w:tc>
          <w:tcPr>
            <w:tcW w:w="4100" w:type="dxa"/>
            <w:shd w:val="clear" w:color="auto" w:fill="FAFBFC"/>
            <w:tcMar>
              <w:top w:w="80" w:type="dxa"/>
              <w:left w:w="120" w:type="dxa"/>
              <w:bottom w:w="80" w:type="dxa"/>
              <w:right w:w="120" w:type="dxa"/>
            </w:tcMar>
            <w:vAlign w:val="center"/>
          </w:tcPr>
          <w:p w14:paraId="6D09AD89" w14:textId="77777777" w:rsidR="00F86FAD" w:rsidRPr="00D72345" w:rsidRDefault="00000000">
            <w:pPr>
              <w:spacing w:after="0" w:line="283" w:lineRule="auto"/>
              <w:jc w:val="left"/>
              <w:rPr>
                <w:lang w:val="fr-FR"/>
              </w:rPr>
            </w:pPr>
            <w:r w:rsidRPr="00D72345">
              <w:rPr>
                <w:rFonts w:eastAsia="Calibri"/>
                <w:sz w:val="19"/>
                <w:lang w:val="fr-FR"/>
              </w:rPr>
              <w:t>Inflation, emploi, croissance, bénéfices et nouvelle trajectoire</w:t>
            </w:r>
          </w:p>
        </w:tc>
        <w:tc>
          <w:tcPr>
            <w:tcW w:w="3260" w:type="dxa"/>
            <w:shd w:val="clear" w:color="auto" w:fill="FAFBFC"/>
            <w:tcMar>
              <w:top w:w="80" w:type="dxa"/>
              <w:left w:w="120" w:type="dxa"/>
              <w:bottom w:w="80" w:type="dxa"/>
              <w:right w:w="120" w:type="dxa"/>
            </w:tcMar>
            <w:vAlign w:val="center"/>
          </w:tcPr>
          <w:p w14:paraId="275340D4" w14:textId="77777777" w:rsidR="00F86FAD" w:rsidRDefault="00000000">
            <w:pPr>
              <w:spacing w:after="0" w:line="283" w:lineRule="auto"/>
              <w:jc w:val="left"/>
            </w:pPr>
            <w:r>
              <w:rPr>
                <w:rFonts w:eastAsia="Calibri"/>
                <w:sz w:val="19"/>
              </w:rPr>
              <w:t>Confondre corrélation et causalité</w:t>
            </w:r>
          </w:p>
        </w:tc>
      </w:tr>
    </w:tbl>
    <w:p w14:paraId="2FB0D207" w14:textId="77777777" w:rsidR="00F86FAD" w:rsidRDefault="00F86FAD">
      <w:pPr>
        <w:spacing w:after="100"/>
      </w:pPr>
    </w:p>
    <w:p w14:paraId="261A6017" w14:textId="77777777" w:rsidR="00F86FAD" w:rsidRPr="00D72345" w:rsidRDefault="00000000">
      <w:pPr>
        <w:pStyle w:val="Titre1"/>
        <w:keepNext/>
        <w:spacing w:after="140"/>
        <w:rPr>
          <w:lang w:val="fr-FR"/>
        </w:rPr>
      </w:pPr>
      <w:r>
        <w:rPr>
          <w:rFonts w:eastAsia="Calibri"/>
          <w:b/>
          <w:color w:val="0B2545"/>
          <w:sz w:val="48"/>
          <w:lang w:val="fr-FR"/>
        </w:rPr>
        <w:t>6. Cas 1 — Fed et Jackson Hole 2022</w:t>
      </w:r>
    </w:p>
    <w:p w14:paraId="5CE52766" w14:textId="77777777" w:rsidR="00F86FAD" w:rsidRPr="00D72345" w:rsidRDefault="00000000">
      <w:pPr>
        <w:keepNext/>
        <w:spacing w:after="320"/>
        <w:rPr>
          <w:lang w:val="fr-FR"/>
        </w:rPr>
      </w:pPr>
      <w:r w:rsidRPr="00D72345">
        <w:rPr>
          <w:rFonts w:eastAsia="Calibri"/>
          <w:i/>
          <w:color w:val="1F4D78"/>
          <w:sz w:val="26"/>
          <w:lang w:val="fr-FR"/>
        </w:rPr>
        <w:t>Quand le chemin futur des taux compte plus qu'une décision immédiate.</w:t>
      </w:r>
    </w:p>
    <w:p w14:paraId="5E25541C" w14:textId="77777777" w:rsidR="00F86FAD" w:rsidRPr="00D72345" w:rsidRDefault="00000000">
      <w:pPr>
        <w:pStyle w:val="Titre2"/>
        <w:rPr>
          <w:lang w:val="fr-FR"/>
        </w:rPr>
      </w:pPr>
      <w:r w:rsidRPr="00D72345">
        <w:rPr>
          <w:lang w:val="fr-FR"/>
        </w:rPr>
        <w:t>6.1 Le contexte</w:t>
      </w:r>
    </w:p>
    <w:p w14:paraId="5918B121" w14:textId="77777777" w:rsidR="00F86FAD" w:rsidRPr="00D72345" w:rsidRDefault="00000000">
      <w:pPr>
        <w:rPr>
          <w:lang w:val="fr-FR"/>
        </w:rPr>
      </w:pPr>
      <w:r w:rsidRPr="00D72345">
        <w:rPr>
          <w:rFonts w:eastAsia="Calibri"/>
          <w:lang w:val="fr-FR"/>
        </w:rPr>
        <w:t>En 2022, l'inflation américaine est très élevée et la Fed a déjà commencé à relever rapidement ses taux. Pendant l'été, une partie du marché espère qu'un ralentissement économique conduira bientôt à un assouplissement. Cette anticipation soutient le rebond des actions avant le discours de Jackson Hole.</w:t>
      </w:r>
    </w:p>
    <w:p w14:paraId="23501B9A" w14:textId="77777777" w:rsidR="00F86FAD" w:rsidRPr="00D72345" w:rsidRDefault="00000000">
      <w:pPr>
        <w:pStyle w:val="Titre2"/>
        <w:rPr>
          <w:lang w:val="fr-FR"/>
        </w:rPr>
      </w:pPr>
      <w:r w:rsidRPr="00D72345">
        <w:rPr>
          <w:lang w:val="fr-FR"/>
        </w:rPr>
        <w:t>6.2 Le message du 26 août</w:t>
      </w:r>
    </w:p>
    <w:p w14:paraId="533FA9E7" w14:textId="77777777" w:rsidR="00F86FAD" w:rsidRPr="00D72345" w:rsidRDefault="00000000">
      <w:pPr>
        <w:rPr>
          <w:lang w:val="fr-FR"/>
        </w:rPr>
      </w:pPr>
      <w:r w:rsidRPr="00D72345">
        <w:rPr>
          <w:rFonts w:eastAsia="Calibri"/>
          <w:lang w:val="fr-FR"/>
        </w:rPr>
        <w:t>Jerome Powell recentre le débat sur le retour de l'inflation vers 2 %. Il explique que restaurer la stabilité des prix demandera du temps, une croissance inférieure à la tendance et probablement un affaiblissement du marché du travail. Le message essentiel n'est pas une nouvelle hausse annoncée ce jour-là : c'est le refus de promettre un pivot rapide.</w:t>
      </w:r>
    </w:p>
    <w:p w14:paraId="4C65DD48" w14:textId="77777777" w:rsidR="00F86FAD" w:rsidRPr="00D72345" w:rsidRDefault="00000000">
      <w:pPr>
        <w:keepLines/>
        <w:pBdr>
          <w:left w:val="single" w:sz="18" w:space="8" w:color="A61B1B"/>
        </w:pBdr>
        <w:shd w:val="clear" w:color="auto" w:fill="FCEDED"/>
        <w:spacing w:before="100" w:after="200" w:line="288" w:lineRule="auto"/>
        <w:ind w:left="173" w:right="115"/>
        <w:rPr>
          <w:lang w:val="fr-FR"/>
        </w:rPr>
      </w:pPr>
      <w:r w:rsidRPr="00D72345">
        <w:rPr>
          <w:rFonts w:eastAsia="Calibri"/>
          <w:b/>
          <w:color w:val="A61B1B"/>
          <w:sz w:val="20"/>
          <w:lang w:val="fr-FR"/>
        </w:rPr>
        <w:t xml:space="preserve">SURPRISE DE </w:t>
      </w:r>
      <w:proofErr w:type="gramStart"/>
      <w:r w:rsidRPr="00D72345">
        <w:rPr>
          <w:rFonts w:eastAsia="Calibri"/>
          <w:b/>
          <w:color w:val="A61B1B"/>
          <w:sz w:val="20"/>
          <w:lang w:val="fr-FR"/>
        </w:rPr>
        <w:t xml:space="preserve">MARCHÉ  </w:t>
      </w:r>
      <w:r w:rsidRPr="00D72345">
        <w:rPr>
          <w:rFonts w:eastAsia="Calibri"/>
          <w:sz w:val="21"/>
          <w:lang w:val="fr-FR"/>
        </w:rPr>
        <w:t>Les</w:t>
      </w:r>
      <w:proofErr w:type="gramEnd"/>
      <w:r w:rsidRPr="00D72345">
        <w:rPr>
          <w:rFonts w:eastAsia="Calibri"/>
          <w:sz w:val="21"/>
          <w:lang w:val="fr-FR"/>
        </w:rPr>
        <w:t xml:space="preserve"> investisseurs espéraient un signal plus souple. Le discours augmente la probabilité de taux élevés plus longtemps et réduit la valeur attribuée aux bénéfices futurs.</w:t>
      </w:r>
    </w:p>
    <w:p w14:paraId="7AE6EF3D" w14:textId="77777777" w:rsidR="00F86FAD" w:rsidRPr="00D72345" w:rsidRDefault="00000000">
      <w:pPr>
        <w:pStyle w:val="Titre2"/>
        <w:rPr>
          <w:lang w:val="fr-FR"/>
        </w:rPr>
      </w:pPr>
      <w:r w:rsidRPr="00D72345">
        <w:rPr>
          <w:lang w:val="fr-FR"/>
        </w:rPr>
        <w:t>6.3 Réaction</w:t>
      </w:r>
    </w:p>
    <w:p w14:paraId="0875006F" w14:textId="77777777" w:rsidR="00F86FAD" w:rsidRPr="00D72345" w:rsidRDefault="00000000">
      <w:pPr>
        <w:rPr>
          <w:lang w:val="fr-FR"/>
        </w:rPr>
      </w:pPr>
      <w:r w:rsidRPr="00D72345">
        <w:rPr>
          <w:rFonts w:eastAsia="Calibri"/>
          <w:lang w:val="fr-FR"/>
        </w:rPr>
        <w:t>Le S&amp;P 500 perd 3,37 % pendant la séance du 26 août 2022 ; le Nasdaq recule davantage. Le mouvement illustre la sensibilité des actions de croissance aux taux attendus et montre qu'un discours peut déplacer les marchés sans modification immédiate du taux directeur.</w:t>
      </w:r>
    </w:p>
    <w:p w14:paraId="0B9E4CD0" w14:textId="77777777" w:rsidR="00F86FAD" w:rsidRDefault="00000000">
      <w:pPr>
        <w:keepNext/>
        <w:spacing w:before="120" w:after="80"/>
        <w:jc w:val="center"/>
      </w:pPr>
      <w:r>
        <w:rPr>
          <w:noProof/>
        </w:rPr>
        <w:drawing>
          <wp:inline distT="0" distB="0" distL="0" distR="0" wp14:anchorId="1626D65F" wp14:editId="6AFAB03C">
            <wp:extent cx="5669280" cy="3893211"/>
            <wp:effectExtent l="0" t="0" r="0" b="0"/>
            <wp:docPr id="2" name="Picture 2" descr="Graphique TradingView du S&amp;P 500 en journalier, annoté au 26 août 2022, montrant une forte bougie baissière et la poursuite du repli." title="Figure 2 — S&amp;P 500, bougies journalières et volume. Fenêtre historique centrée sur le discours du 26 août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ngview_spx_jackson_hole_2022_annote.jpg"/>
                    <pic:cNvPicPr/>
                  </pic:nvPicPr>
                  <pic:blipFill>
                    <a:blip r:embed="rId21"/>
                    <a:stretch>
                      <a:fillRect/>
                    </a:stretch>
                  </pic:blipFill>
                  <pic:spPr>
                    <a:xfrm>
                      <a:off x="0" y="0"/>
                      <a:ext cx="5669280" cy="3893211"/>
                    </a:xfrm>
                    <a:prstGeom prst="rect">
                      <a:avLst/>
                    </a:prstGeom>
                  </pic:spPr>
                </pic:pic>
              </a:graphicData>
            </a:graphic>
          </wp:inline>
        </w:drawing>
      </w:r>
    </w:p>
    <w:p w14:paraId="52F57AAA" w14:textId="77777777" w:rsidR="00F86FAD" w:rsidRPr="00D72345" w:rsidRDefault="00000000">
      <w:pPr>
        <w:keepNext/>
        <w:spacing w:after="0"/>
        <w:jc w:val="center"/>
        <w:rPr>
          <w:lang w:val="fr-FR"/>
        </w:rPr>
      </w:pPr>
      <w:r w:rsidRPr="00D72345">
        <w:rPr>
          <w:rFonts w:eastAsia="Calibri"/>
          <w:b/>
          <w:sz w:val="19"/>
          <w:lang w:val="fr-FR"/>
        </w:rPr>
        <w:t>Figure 2 — S&amp;P 500, bougies journalières et volume. Fenêtre historique centrée sur le discours du 26 août 2022.</w:t>
      </w:r>
    </w:p>
    <w:p w14:paraId="2E6FA0F4"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22">
        <w:r w:rsidRPr="00D72345">
          <w:rPr>
            <w:color w:val="2E74B5"/>
            <w:u w:val="single"/>
            <w:lang w:val="fr-FR"/>
          </w:rPr>
          <w:t>TradingView — S&amp;P 500 Index (SP:SPX)</w:t>
        </w:r>
      </w:hyperlink>
      <w:r w:rsidRPr="00D72345">
        <w:rPr>
          <w:rFonts w:eastAsia="Calibri"/>
          <w:color w:val="667085"/>
          <w:sz w:val="17"/>
          <w:lang w:val="fr-FR"/>
        </w:rPr>
        <w:t xml:space="preserve"> · </w:t>
      </w:r>
      <w:hyperlink r:id="rId23">
        <w:r w:rsidRPr="00D72345">
          <w:rPr>
            <w:color w:val="2E74B5"/>
            <w:u w:val="single"/>
            <w:lang w:val="fr-FR"/>
          </w:rPr>
          <w:t>Réserve fédérale — Discours de Jerome Powell à Jackson Hole, 26 août 2022</w:t>
        </w:r>
      </w:hyperlink>
      <w:r w:rsidRPr="00D72345">
        <w:rPr>
          <w:rFonts w:eastAsia="Calibri"/>
          <w:color w:val="667085"/>
          <w:sz w:val="17"/>
          <w:lang w:val="fr-FR"/>
        </w:rPr>
        <w:t xml:space="preserve"> · </w:t>
      </w:r>
      <w:hyperlink r:id="rId24">
        <w:r w:rsidRPr="00D72345">
          <w:rPr>
            <w:color w:val="2E74B5"/>
            <w:u w:val="single"/>
            <w:lang w:val="fr-FR"/>
          </w:rPr>
          <w:t>Reuters — Réaction de Wall Street au discours de Jackson Hole, 26 août 2022</w:t>
        </w:r>
      </w:hyperlink>
    </w:p>
    <w:p w14:paraId="0B7E7847" w14:textId="77777777" w:rsidR="00F86FAD" w:rsidRPr="00D72345" w:rsidRDefault="00000000">
      <w:pPr>
        <w:pStyle w:val="Titre3"/>
        <w:rPr>
          <w:lang w:val="fr-FR"/>
        </w:rPr>
      </w:pPr>
      <w:r w:rsidRPr="00D72345">
        <w:rPr>
          <w:lang w:val="fr-FR"/>
        </w:rPr>
        <w:t>Lecture guidée</w:t>
      </w:r>
    </w:p>
    <w:p w14:paraId="0DD8E1C9" w14:textId="77777777" w:rsidR="00F86FAD" w:rsidRPr="00D72345" w:rsidRDefault="00000000">
      <w:pPr>
        <w:rPr>
          <w:lang w:val="fr-FR"/>
        </w:rPr>
      </w:pPr>
      <w:r w:rsidRPr="00D72345">
        <w:rPr>
          <w:rFonts w:eastAsia="Calibri"/>
          <w:b/>
          <w:lang w:val="fr-FR"/>
        </w:rPr>
        <w:t xml:space="preserve">Ce que l'on observe. </w:t>
      </w:r>
      <w:r w:rsidRPr="00D72345">
        <w:rPr>
          <w:rFonts w:eastAsia="Calibri"/>
          <w:lang w:val="fr-FR"/>
        </w:rPr>
        <w:t>La séance du 26 août forme une grande bougie rouge après un rebond de plusieurs semaines. La baisse ne s'arrête pas à la journée : le marché reste sous pression pendant septembre, même si d'autres données contribuent ensuite au mouvement.</w:t>
      </w:r>
    </w:p>
    <w:p w14:paraId="545A9304" w14:textId="77777777" w:rsidR="00F86FAD" w:rsidRPr="00D72345" w:rsidRDefault="00000000">
      <w:pPr>
        <w:rPr>
          <w:lang w:val="fr-FR"/>
        </w:rPr>
      </w:pPr>
      <w:r w:rsidRPr="00D72345">
        <w:rPr>
          <w:rFonts w:eastAsia="Calibri"/>
          <w:b/>
          <w:lang w:val="fr-FR"/>
        </w:rPr>
        <w:t xml:space="preserve">Mécanisme. </w:t>
      </w:r>
      <w:r w:rsidRPr="00D72345">
        <w:rPr>
          <w:rFonts w:eastAsia="Calibri"/>
          <w:lang w:val="fr-FR"/>
        </w:rPr>
        <w:t>Le discours repousse l'idée de baisses rapides. Des taux futurs plus élevés augmentent le taux d'actualisation, rendent les obligations plus compétitives et réduisent l'appétit pour les valorisations élevées.</w:t>
      </w:r>
    </w:p>
    <w:p w14:paraId="31C6E6BB" w14:textId="77777777" w:rsidR="00F86FAD" w:rsidRDefault="00000000">
      <w:r w:rsidRPr="00D72345">
        <w:rPr>
          <w:rFonts w:eastAsia="Calibri"/>
          <w:b/>
          <w:lang w:val="fr-FR"/>
        </w:rPr>
        <w:t xml:space="preserve">Limite. </w:t>
      </w:r>
      <w:r w:rsidRPr="00D72345">
        <w:rPr>
          <w:rFonts w:eastAsia="Calibri"/>
          <w:lang w:val="fr-FR"/>
        </w:rPr>
        <w:t xml:space="preserve">Le graphique prouve la coïncidence temporelle et montre l'ampleur du mouvement, mais il ne permet pas d'attribuer chaque baisse ultérieure au seul discours. </w:t>
      </w:r>
      <w:r>
        <w:rPr>
          <w:rFonts w:eastAsia="Calibri"/>
        </w:rPr>
        <w:t>Inflation, emploi, bénéfices et positionnement ont continué d'évoluer.</w:t>
      </w:r>
    </w:p>
    <w:p w14:paraId="368E6B73" w14:textId="77777777" w:rsidR="00F86FAD" w:rsidRDefault="00000000">
      <w:pPr>
        <w:pStyle w:val="Titre2"/>
      </w:pPr>
      <w:r>
        <w:t>6.4 Leçons</w:t>
      </w:r>
    </w:p>
    <w:p w14:paraId="10BCFA9D" w14:textId="77777777" w:rsidR="00F86FAD" w:rsidRPr="00D72345" w:rsidRDefault="00000000">
      <w:pPr>
        <w:numPr>
          <w:ilvl w:val="0"/>
          <w:numId w:val="1"/>
        </w:numPr>
        <w:spacing w:after="80" w:line="300" w:lineRule="auto"/>
        <w:rPr>
          <w:lang w:val="fr-FR"/>
        </w:rPr>
      </w:pPr>
      <w:r w:rsidRPr="00D72345">
        <w:rPr>
          <w:rFonts w:eastAsia="Calibri"/>
          <w:color w:val="111111"/>
          <w:lang w:val="fr-FR"/>
        </w:rPr>
        <w:t>La communication est un outil de politique monétaire.</w:t>
      </w:r>
    </w:p>
    <w:p w14:paraId="3CE718BA" w14:textId="77777777" w:rsidR="00F86FAD" w:rsidRPr="00D72345" w:rsidRDefault="00000000">
      <w:pPr>
        <w:numPr>
          <w:ilvl w:val="0"/>
          <w:numId w:val="1"/>
        </w:numPr>
        <w:spacing w:after="80" w:line="300" w:lineRule="auto"/>
        <w:rPr>
          <w:lang w:val="fr-FR"/>
        </w:rPr>
      </w:pPr>
      <w:r w:rsidRPr="00D72345">
        <w:rPr>
          <w:rFonts w:eastAsia="Calibri"/>
          <w:color w:val="111111"/>
          <w:lang w:val="fr-FR"/>
        </w:rPr>
        <w:t>Le marché évalue la durée du resserrement, pas seulement le prochain mouvement de taux.</w:t>
      </w:r>
    </w:p>
    <w:p w14:paraId="08AC5A2F" w14:textId="77777777" w:rsidR="00F86FAD" w:rsidRPr="00D72345" w:rsidRDefault="00000000">
      <w:pPr>
        <w:numPr>
          <w:ilvl w:val="0"/>
          <w:numId w:val="1"/>
        </w:numPr>
        <w:spacing w:after="80" w:line="300" w:lineRule="auto"/>
        <w:rPr>
          <w:lang w:val="fr-FR"/>
        </w:rPr>
      </w:pPr>
      <w:r w:rsidRPr="00D72345">
        <w:rPr>
          <w:rFonts w:eastAsia="Calibri"/>
          <w:color w:val="111111"/>
          <w:lang w:val="fr-FR"/>
        </w:rPr>
        <w:t>Un message déjà attendu aurait produit une réaction plus faible.</w:t>
      </w:r>
    </w:p>
    <w:p w14:paraId="570C82E8" w14:textId="77777777" w:rsidR="00F86FAD" w:rsidRPr="00D72345" w:rsidRDefault="00000000">
      <w:pPr>
        <w:numPr>
          <w:ilvl w:val="0"/>
          <w:numId w:val="1"/>
        </w:numPr>
        <w:spacing w:after="80" w:line="300" w:lineRule="auto"/>
        <w:rPr>
          <w:lang w:val="fr-FR"/>
        </w:rPr>
      </w:pPr>
      <w:r w:rsidRPr="00D72345">
        <w:rPr>
          <w:rFonts w:eastAsia="Calibri"/>
          <w:color w:val="111111"/>
          <w:lang w:val="fr-FR"/>
        </w:rPr>
        <w:t>La grande bougie confirme un changement d'anticipations, mais la gestion du risque reste indispensable après le premier mouvement.</w:t>
      </w:r>
    </w:p>
    <w:p w14:paraId="21475BCC" w14:textId="77777777" w:rsidR="00F86FAD" w:rsidRPr="00D72345" w:rsidRDefault="00000000">
      <w:pPr>
        <w:pStyle w:val="Titre1"/>
        <w:keepNext/>
        <w:spacing w:after="140"/>
        <w:rPr>
          <w:lang w:val="fr-FR"/>
        </w:rPr>
      </w:pPr>
      <w:r>
        <w:rPr>
          <w:rFonts w:eastAsia="Calibri"/>
          <w:b/>
          <w:color w:val="0B2545"/>
          <w:sz w:val="48"/>
          <w:lang w:val="fr-FR"/>
        </w:rPr>
        <w:t>7. Cas 2 — Banque du Japon et YCC</w:t>
      </w:r>
    </w:p>
    <w:p w14:paraId="49995808" w14:textId="77777777" w:rsidR="00F86FAD" w:rsidRPr="00D72345" w:rsidRDefault="00000000">
      <w:pPr>
        <w:keepNext/>
        <w:spacing w:after="320"/>
        <w:rPr>
          <w:lang w:val="fr-FR"/>
        </w:rPr>
      </w:pPr>
      <w:r w:rsidRPr="00D72345">
        <w:rPr>
          <w:rFonts w:eastAsia="Calibri"/>
          <w:i/>
          <w:color w:val="1F4D78"/>
          <w:sz w:val="26"/>
          <w:lang w:val="fr-FR"/>
        </w:rPr>
        <w:t>Quand une modification technique déplace immédiatement une devise.</w:t>
      </w:r>
    </w:p>
    <w:p w14:paraId="1AD30A38" w14:textId="77777777" w:rsidR="00F86FAD" w:rsidRPr="00D72345" w:rsidRDefault="00000000">
      <w:pPr>
        <w:pStyle w:val="Titre2"/>
        <w:rPr>
          <w:lang w:val="fr-FR"/>
        </w:rPr>
      </w:pPr>
      <w:r w:rsidRPr="00D72345">
        <w:rPr>
          <w:lang w:val="fr-FR"/>
        </w:rPr>
        <w:t>7.1 Le contexte</w:t>
      </w:r>
    </w:p>
    <w:p w14:paraId="2D3BBB9F" w14:textId="77777777" w:rsidR="00F86FAD" w:rsidRPr="00D72345" w:rsidRDefault="00000000">
      <w:pPr>
        <w:rPr>
          <w:lang w:val="fr-FR"/>
        </w:rPr>
      </w:pPr>
      <w:r w:rsidRPr="00D72345">
        <w:rPr>
          <w:rFonts w:eastAsia="Calibri"/>
          <w:lang w:val="fr-FR"/>
        </w:rPr>
        <w:t>En 2022, la Fed resserre fortement sa politique tandis que la Banque du Japon conserve une politique très accommodante. L'écart de rendement favorise le dollar et affaiblit le yen. La BoJ contrôle alors la courbe des taux et limite le rendement de l'obligation japonaise à dix ans autour d'une zone étroite.</w:t>
      </w:r>
    </w:p>
    <w:p w14:paraId="67997BDB" w14:textId="77777777" w:rsidR="00F86FAD" w:rsidRPr="00D72345" w:rsidRDefault="00000000">
      <w:pPr>
        <w:pStyle w:val="Titre2"/>
        <w:rPr>
          <w:lang w:val="fr-FR"/>
        </w:rPr>
      </w:pPr>
      <w:r w:rsidRPr="00D72345">
        <w:rPr>
          <w:lang w:val="fr-FR"/>
        </w:rPr>
        <w:t>7.2 La décision du 20 décembre</w:t>
      </w:r>
    </w:p>
    <w:p w14:paraId="06316A23" w14:textId="77777777" w:rsidR="00F86FAD" w:rsidRPr="00D72345" w:rsidRDefault="00000000">
      <w:pPr>
        <w:rPr>
          <w:lang w:val="fr-FR"/>
        </w:rPr>
      </w:pPr>
      <w:r w:rsidRPr="00D72345">
        <w:rPr>
          <w:rFonts w:eastAsia="Calibri"/>
          <w:lang w:val="fr-FR"/>
        </w:rPr>
        <w:t>La BoJ élargit la bande admise autour du rendement à dix ans, d'environ plus ou moins 0,25 point à environ plus ou moins 0,50 point, tout en affirmant maintenir des conditions accommodantes. Officiellement, l'objectif est d'améliorer le fonctionnement du marché obligataire. Pour les investisseurs, la mesure ressemble toutefois à un premier pas vers une politique moins extrême.</w:t>
      </w:r>
    </w:p>
    <w:p w14:paraId="30C17192" w14:textId="77777777" w:rsidR="00F86FAD" w:rsidRPr="00D72345" w:rsidRDefault="00000000">
      <w:pPr>
        <w:keepLines/>
        <w:pBdr>
          <w:left w:val="single" w:sz="18" w:space="8" w:color="A61B1B"/>
        </w:pBdr>
        <w:shd w:val="clear" w:color="auto" w:fill="FCEDED"/>
        <w:spacing w:before="100" w:after="200" w:line="288" w:lineRule="auto"/>
        <w:ind w:left="173" w:right="115"/>
        <w:rPr>
          <w:lang w:val="fr-FR"/>
        </w:rPr>
      </w:pPr>
      <w:r w:rsidRPr="00D72345">
        <w:rPr>
          <w:rFonts w:eastAsia="Calibri"/>
          <w:b/>
          <w:color w:val="A61B1B"/>
          <w:sz w:val="20"/>
          <w:lang w:val="fr-FR"/>
        </w:rPr>
        <w:t xml:space="preserve">POURQUOI LA SURPRISE EST </w:t>
      </w:r>
      <w:proofErr w:type="gramStart"/>
      <w:r w:rsidRPr="00D72345">
        <w:rPr>
          <w:rFonts w:eastAsia="Calibri"/>
          <w:b/>
          <w:color w:val="A61B1B"/>
          <w:sz w:val="20"/>
          <w:lang w:val="fr-FR"/>
        </w:rPr>
        <w:t xml:space="preserve">FORTE  </w:t>
      </w:r>
      <w:r w:rsidRPr="00D72345">
        <w:rPr>
          <w:rFonts w:eastAsia="Calibri"/>
          <w:sz w:val="21"/>
          <w:lang w:val="fr-FR"/>
        </w:rPr>
        <w:t>Le</w:t>
      </w:r>
      <w:proofErr w:type="gramEnd"/>
      <w:r w:rsidRPr="00D72345">
        <w:rPr>
          <w:rFonts w:eastAsia="Calibri"/>
          <w:sz w:val="21"/>
          <w:lang w:val="fr-FR"/>
        </w:rPr>
        <w:t xml:space="preserve"> changement n'était pas largement anticipé. Il permet aux rendements japonais de monter davantage et réduit brutalement l'avantage relatif de certaines positions vendeuses de yen.</w:t>
      </w:r>
    </w:p>
    <w:p w14:paraId="082EB201" w14:textId="77777777" w:rsidR="00F86FAD" w:rsidRPr="00D72345" w:rsidRDefault="00000000">
      <w:pPr>
        <w:pStyle w:val="Titre2"/>
        <w:rPr>
          <w:lang w:val="fr-FR"/>
        </w:rPr>
      </w:pPr>
      <w:r w:rsidRPr="00D72345">
        <w:rPr>
          <w:lang w:val="fr-FR"/>
        </w:rPr>
        <w:t>7.3 Réaction</w:t>
      </w:r>
    </w:p>
    <w:p w14:paraId="026F7A2D" w14:textId="77777777" w:rsidR="00F86FAD" w:rsidRPr="00D72345" w:rsidRDefault="00000000">
      <w:pPr>
        <w:rPr>
          <w:lang w:val="fr-FR"/>
        </w:rPr>
      </w:pPr>
      <w:r w:rsidRPr="00D72345">
        <w:rPr>
          <w:rFonts w:eastAsia="Calibri"/>
          <w:lang w:val="fr-FR"/>
        </w:rPr>
        <w:t>Le yen se renforce fortement et l'USD/JPY chute de plusieurs pourcents. Une baisse de cette paire signifie qu'il faut moins de yens pour acheter un dollar : le yen s'apprécie. Le mouvement est amplifié par le débouclage de positions construites sur la divergence durable entre la Fed et la BoJ.</w:t>
      </w:r>
    </w:p>
    <w:p w14:paraId="09AED177" w14:textId="77777777" w:rsidR="00F86FAD" w:rsidRDefault="00000000">
      <w:pPr>
        <w:keepNext/>
        <w:spacing w:before="120" w:after="80"/>
        <w:jc w:val="center"/>
      </w:pPr>
      <w:r>
        <w:rPr>
          <w:noProof/>
        </w:rPr>
        <w:drawing>
          <wp:inline distT="0" distB="0" distL="0" distR="0" wp14:anchorId="2E47D0B4" wp14:editId="141E5A3E">
            <wp:extent cx="5669280" cy="3893211"/>
            <wp:effectExtent l="0" t="0" r="0" b="0"/>
            <wp:docPr id="3" name="Picture 3" descr="Graphique TradingView de la paire USDJPY en journalier, annoté au 20 décembre 2022, montrant une forte bougie baissière correspondant à une appréciation du yen." title="Figure 3 — USD/JPY, bougies journalières et tick volume. Fenêtre historique centrée sur la décision du 20 décemb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ngview_usdjpy_boj_ycc_2022_annote.jpg"/>
                    <pic:cNvPicPr/>
                  </pic:nvPicPr>
                  <pic:blipFill>
                    <a:blip r:embed="rId25"/>
                    <a:stretch>
                      <a:fillRect/>
                    </a:stretch>
                  </pic:blipFill>
                  <pic:spPr>
                    <a:xfrm>
                      <a:off x="0" y="0"/>
                      <a:ext cx="5669280" cy="3893211"/>
                    </a:xfrm>
                    <a:prstGeom prst="rect">
                      <a:avLst/>
                    </a:prstGeom>
                  </pic:spPr>
                </pic:pic>
              </a:graphicData>
            </a:graphic>
          </wp:inline>
        </w:drawing>
      </w:r>
    </w:p>
    <w:p w14:paraId="12A66FCB" w14:textId="77777777" w:rsidR="00F86FAD" w:rsidRPr="00D72345" w:rsidRDefault="00000000">
      <w:pPr>
        <w:keepNext/>
        <w:spacing w:after="0"/>
        <w:jc w:val="center"/>
        <w:rPr>
          <w:lang w:val="fr-FR"/>
        </w:rPr>
      </w:pPr>
      <w:r w:rsidRPr="00D72345">
        <w:rPr>
          <w:rFonts w:eastAsia="Calibri"/>
          <w:b/>
          <w:sz w:val="19"/>
          <w:lang w:val="fr-FR"/>
        </w:rPr>
        <w:t>Figure 3 — USD/JPY, bougies journalières et tick volume. Fenêtre historique centrée sur la décision du 20 décembre 2022.</w:t>
      </w:r>
    </w:p>
    <w:p w14:paraId="161B73A4" w14:textId="77777777" w:rsidR="00F86FAD" w:rsidRPr="00D72345" w:rsidRDefault="00000000">
      <w:pPr>
        <w:spacing w:before="40" w:after="100"/>
        <w:jc w:val="center"/>
        <w:rPr>
          <w:lang w:val="fr-FR"/>
        </w:rPr>
      </w:pPr>
      <w:r w:rsidRPr="00D72345">
        <w:rPr>
          <w:rFonts w:eastAsia="Calibri"/>
          <w:i/>
          <w:color w:val="667085"/>
          <w:sz w:val="17"/>
          <w:lang w:val="fr-FR"/>
        </w:rPr>
        <w:t xml:space="preserve">Source : </w:t>
      </w:r>
      <w:hyperlink r:id="rId26">
        <w:r w:rsidRPr="00D72345">
          <w:rPr>
            <w:color w:val="2E74B5"/>
            <w:u w:val="single"/>
            <w:lang w:val="fr-FR"/>
          </w:rPr>
          <w:t>TradingView — U.S. Dollar / Japanese Yen (FX:USDJPY)</w:t>
        </w:r>
      </w:hyperlink>
      <w:r w:rsidRPr="00D72345">
        <w:rPr>
          <w:rFonts w:eastAsia="Calibri"/>
          <w:color w:val="667085"/>
          <w:sz w:val="17"/>
          <w:lang w:val="fr-FR"/>
        </w:rPr>
        <w:t xml:space="preserve"> · </w:t>
      </w:r>
      <w:hyperlink r:id="rId27">
        <w:r w:rsidRPr="00D72345">
          <w:rPr>
            <w:color w:val="2E74B5"/>
            <w:u w:val="single"/>
            <w:lang w:val="fr-FR"/>
          </w:rPr>
          <w:t>Banque du Japon — Modification du contrôle de la courbe des taux, 20 décembre 2022</w:t>
        </w:r>
      </w:hyperlink>
      <w:r w:rsidRPr="00D72345">
        <w:rPr>
          <w:rFonts w:eastAsia="Calibri"/>
          <w:color w:val="667085"/>
          <w:sz w:val="17"/>
          <w:lang w:val="fr-FR"/>
        </w:rPr>
        <w:t xml:space="preserve"> · </w:t>
      </w:r>
      <w:hyperlink r:id="rId28">
        <w:r w:rsidRPr="00D72345">
          <w:rPr>
            <w:color w:val="2E74B5"/>
            <w:u w:val="single"/>
            <w:lang w:val="fr-FR"/>
          </w:rPr>
          <w:t>Reuters — Hausse du yen après la décision surprise de la Banque du Japon</w:t>
        </w:r>
      </w:hyperlink>
    </w:p>
    <w:p w14:paraId="363007F3" w14:textId="77777777" w:rsidR="00F86FAD" w:rsidRPr="00D72345" w:rsidRDefault="00000000">
      <w:pPr>
        <w:pStyle w:val="Titre3"/>
        <w:rPr>
          <w:lang w:val="fr-FR"/>
        </w:rPr>
      </w:pPr>
      <w:r w:rsidRPr="00D72345">
        <w:rPr>
          <w:lang w:val="fr-FR"/>
        </w:rPr>
        <w:t>Lecture guidée</w:t>
      </w:r>
    </w:p>
    <w:p w14:paraId="6BADBB4C" w14:textId="77777777" w:rsidR="00F86FAD" w:rsidRPr="00D72345" w:rsidRDefault="00000000">
      <w:pPr>
        <w:rPr>
          <w:lang w:val="fr-FR"/>
        </w:rPr>
      </w:pPr>
      <w:r w:rsidRPr="00D72345">
        <w:rPr>
          <w:rFonts w:eastAsia="Calibri"/>
          <w:b/>
          <w:lang w:val="fr-FR"/>
        </w:rPr>
        <w:t xml:space="preserve">Ce que l'on observe. </w:t>
      </w:r>
      <w:r w:rsidRPr="00D72345">
        <w:rPr>
          <w:rFonts w:eastAsia="Calibri"/>
          <w:lang w:val="fr-FR"/>
        </w:rPr>
        <w:t>La bougie du 20 décembre est nettement baissière sur USD/JPY. Le prix passe rapidement de la zone proche de 137 vers la zone 132, avant de rester volatil dans les semaines suivantes.</w:t>
      </w:r>
    </w:p>
    <w:p w14:paraId="02F735D2" w14:textId="77777777" w:rsidR="00F86FAD" w:rsidRPr="00D72345" w:rsidRDefault="00000000">
      <w:pPr>
        <w:rPr>
          <w:lang w:val="fr-FR"/>
        </w:rPr>
      </w:pPr>
      <w:r w:rsidRPr="00D72345">
        <w:rPr>
          <w:rFonts w:eastAsia="Calibri"/>
          <w:b/>
          <w:lang w:val="fr-FR"/>
        </w:rPr>
        <w:t xml:space="preserve">Mécanisme. </w:t>
      </w:r>
      <w:r w:rsidRPr="00D72345">
        <w:rPr>
          <w:rFonts w:eastAsia="Calibri"/>
          <w:lang w:val="fr-FR"/>
        </w:rPr>
        <w:t xml:space="preserve">Une bande de rendement plus large permet </w:t>
      </w:r>
      <w:proofErr w:type="gramStart"/>
      <w:r w:rsidRPr="00D72345">
        <w:rPr>
          <w:rFonts w:eastAsia="Calibri"/>
          <w:lang w:val="fr-FR"/>
        </w:rPr>
        <w:t>au dix ans japonais</w:t>
      </w:r>
      <w:proofErr w:type="gramEnd"/>
      <w:r w:rsidRPr="00D72345">
        <w:rPr>
          <w:rFonts w:eastAsia="Calibri"/>
          <w:lang w:val="fr-FR"/>
        </w:rPr>
        <w:t xml:space="preserve"> de monter. Le différentiel de taux anticipé devient moins favorable au dollar et les positions vendeuses de yen sont réduites.</w:t>
      </w:r>
    </w:p>
    <w:p w14:paraId="60D85948" w14:textId="77777777" w:rsidR="00F86FAD" w:rsidRPr="00D72345" w:rsidRDefault="00000000">
      <w:pPr>
        <w:rPr>
          <w:lang w:val="fr-FR"/>
        </w:rPr>
      </w:pPr>
      <w:r w:rsidRPr="00D72345">
        <w:rPr>
          <w:rFonts w:eastAsia="Calibri"/>
          <w:b/>
          <w:lang w:val="fr-FR"/>
        </w:rPr>
        <w:t xml:space="preserve">Limite. </w:t>
      </w:r>
      <w:r w:rsidRPr="00D72345">
        <w:rPr>
          <w:rFonts w:eastAsia="Calibri"/>
          <w:lang w:val="fr-FR"/>
        </w:rPr>
        <w:t>Le volume du Forex au comptant affiché par la plateforme est un tick volume lié au fournisseur, pas le volume mondial complet. De plus, le dollar dépend aussi de la Fed : la paire traduit deux politiques monétaires.</w:t>
      </w:r>
    </w:p>
    <w:p w14:paraId="66E60E80" w14:textId="77777777" w:rsidR="00F86FAD" w:rsidRDefault="00000000">
      <w:pPr>
        <w:pStyle w:val="Titre2"/>
      </w:pPr>
      <w:r>
        <w:t>7.4 Leçons</w:t>
      </w:r>
    </w:p>
    <w:p w14:paraId="22C73232" w14:textId="77777777" w:rsidR="00F86FAD" w:rsidRPr="00D72345" w:rsidRDefault="00000000">
      <w:pPr>
        <w:numPr>
          <w:ilvl w:val="0"/>
          <w:numId w:val="1"/>
        </w:numPr>
        <w:spacing w:after="80" w:line="300" w:lineRule="auto"/>
        <w:rPr>
          <w:lang w:val="fr-FR"/>
        </w:rPr>
      </w:pPr>
      <w:r w:rsidRPr="00D72345">
        <w:rPr>
          <w:rFonts w:eastAsia="Calibri"/>
          <w:color w:val="111111"/>
          <w:lang w:val="fr-FR"/>
        </w:rPr>
        <w:t>Une décision présentée comme technique peut modifier fortement les anticipations.</w:t>
      </w:r>
    </w:p>
    <w:p w14:paraId="4EDD7F01" w14:textId="77777777" w:rsidR="00F86FAD" w:rsidRPr="00D72345" w:rsidRDefault="00000000">
      <w:pPr>
        <w:numPr>
          <w:ilvl w:val="0"/>
          <w:numId w:val="1"/>
        </w:numPr>
        <w:spacing w:after="80" w:line="300" w:lineRule="auto"/>
        <w:rPr>
          <w:lang w:val="fr-FR"/>
        </w:rPr>
      </w:pPr>
      <w:r w:rsidRPr="00D72345">
        <w:rPr>
          <w:rFonts w:eastAsia="Calibri"/>
          <w:color w:val="111111"/>
          <w:lang w:val="fr-FR"/>
        </w:rPr>
        <w:t>Sur le Forex, le différentiel de politique monétaire est central.</w:t>
      </w:r>
    </w:p>
    <w:p w14:paraId="225E3736" w14:textId="77777777" w:rsidR="00F86FAD" w:rsidRPr="00D72345" w:rsidRDefault="00000000">
      <w:pPr>
        <w:numPr>
          <w:ilvl w:val="0"/>
          <w:numId w:val="1"/>
        </w:numPr>
        <w:spacing w:after="80" w:line="300" w:lineRule="auto"/>
        <w:rPr>
          <w:lang w:val="fr-FR"/>
        </w:rPr>
      </w:pPr>
      <w:r w:rsidRPr="00D72345">
        <w:rPr>
          <w:rFonts w:eastAsia="Calibri"/>
          <w:color w:val="111111"/>
          <w:lang w:val="fr-FR"/>
        </w:rPr>
        <w:t>USD/JPY en baisse signifie yen plus fort ; il faut toujours vérifier le sens de cotation.</w:t>
      </w:r>
    </w:p>
    <w:p w14:paraId="1378D109" w14:textId="77777777" w:rsidR="00F86FAD" w:rsidRPr="00D72345" w:rsidRDefault="00000000">
      <w:pPr>
        <w:numPr>
          <w:ilvl w:val="0"/>
          <w:numId w:val="1"/>
        </w:numPr>
        <w:spacing w:after="80" w:line="300" w:lineRule="auto"/>
        <w:rPr>
          <w:lang w:val="fr-FR"/>
        </w:rPr>
      </w:pPr>
      <w:r w:rsidRPr="00D72345">
        <w:rPr>
          <w:rFonts w:eastAsia="Calibri"/>
          <w:color w:val="111111"/>
          <w:lang w:val="fr-FR"/>
        </w:rPr>
        <w:t>Les positions de carry trade peuvent amplifier un mouvement lorsque leur logique se retourne.</w:t>
      </w:r>
    </w:p>
    <w:p w14:paraId="71F831C0" w14:textId="77777777" w:rsidR="00F86FAD" w:rsidRPr="00D72345" w:rsidRDefault="00000000">
      <w:pPr>
        <w:pStyle w:val="Titre1"/>
        <w:keepNext/>
        <w:spacing w:after="140"/>
        <w:rPr>
          <w:lang w:val="fr-FR"/>
        </w:rPr>
      </w:pPr>
      <w:r>
        <w:rPr>
          <w:rFonts w:eastAsia="Calibri"/>
          <w:b/>
          <w:color w:val="0B2545"/>
          <w:sz w:val="48"/>
          <w:lang w:val="fr-FR"/>
        </w:rPr>
        <w:t>8. Méthode d'analyse d'une décision monétaire</w:t>
      </w:r>
    </w:p>
    <w:p w14:paraId="599997AC" w14:textId="77777777" w:rsidR="00F86FAD" w:rsidRPr="00D72345" w:rsidRDefault="00000000">
      <w:pPr>
        <w:keepNext/>
        <w:spacing w:after="320"/>
        <w:rPr>
          <w:lang w:val="fr-FR"/>
        </w:rPr>
      </w:pPr>
      <w:r w:rsidRPr="00D72345">
        <w:rPr>
          <w:rFonts w:eastAsia="Calibri"/>
          <w:i/>
          <w:color w:val="1F4D78"/>
          <w:sz w:val="26"/>
          <w:lang w:val="fr-FR"/>
        </w:rPr>
        <w:t>Lire la réunion dans le bon ordre, sans deviner le marché.</w:t>
      </w:r>
    </w:p>
    <w:p w14:paraId="745C8450" w14:textId="77777777" w:rsidR="00F86FAD" w:rsidRDefault="00000000">
      <w:pPr>
        <w:pStyle w:val="Titre2"/>
      </w:pPr>
      <w:r>
        <w:t>8.1 Avant la réunion</w:t>
      </w:r>
    </w:p>
    <w:p w14:paraId="1C4CE14F" w14:textId="77777777" w:rsidR="00F86FAD" w:rsidRPr="00D72345" w:rsidRDefault="00000000">
      <w:pPr>
        <w:numPr>
          <w:ilvl w:val="0"/>
          <w:numId w:val="1"/>
        </w:numPr>
        <w:spacing w:after="80" w:line="300" w:lineRule="auto"/>
        <w:rPr>
          <w:lang w:val="fr-FR"/>
        </w:rPr>
      </w:pPr>
      <w:r w:rsidRPr="00D72345">
        <w:rPr>
          <w:rFonts w:eastAsia="Calibri"/>
          <w:color w:val="111111"/>
          <w:lang w:val="fr-FR"/>
        </w:rPr>
        <w:t>Identifier le mandat et le principal problème : inflation, emploi, croissance ou stabilité financière.</w:t>
      </w:r>
    </w:p>
    <w:p w14:paraId="4C6C4B12" w14:textId="77777777" w:rsidR="00F86FAD" w:rsidRPr="00D72345" w:rsidRDefault="00000000">
      <w:pPr>
        <w:numPr>
          <w:ilvl w:val="0"/>
          <w:numId w:val="1"/>
        </w:numPr>
        <w:spacing w:after="80" w:line="300" w:lineRule="auto"/>
        <w:rPr>
          <w:lang w:val="fr-FR"/>
        </w:rPr>
      </w:pPr>
      <w:r w:rsidRPr="00D72345">
        <w:rPr>
          <w:rFonts w:eastAsia="Calibri"/>
          <w:color w:val="111111"/>
          <w:lang w:val="fr-FR"/>
        </w:rPr>
        <w:t>Connaître la décision attendue par le consensus et, si possible, la trajectoire déjà intégrée dans les taux de marché.</w:t>
      </w:r>
    </w:p>
    <w:p w14:paraId="7188D44B" w14:textId="77777777" w:rsidR="00F86FAD" w:rsidRPr="00D72345" w:rsidRDefault="00000000">
      <w:pPr>
        <w:numPr>
          <w:ilvl w:val="0"/>
          <w:numId w:val="1"/>
        </w:numPr>
        <w:spacing w:after="80" w:line="300" w:lineRule="auto"/>
        <w:rPr>
          <w:lang w:val="fr-FR"/>
        </w:rPr>
      </w:pPr>
      <w:r w:rsidRPr="00D72345">
        <w:rPr>
          <w:rFonts w:eastAsia="Calibri"/>
          <w:color w:val="111111"/>
          <w:lang w:val="fr-FR"/>
        </w:rPr>
        <w:t>Repérer les dernières données importantes et leur tendance, pas seulement une publication isolée.</w:t>
      </w:r>
    </w:p>
    <w:p w14:paraId="29452A86" w14:textId="77777777" w:rsidR="00F86FAD" w:rsidRPr="00D72345" w:rsidRDefault="00000000">
      <w:pPr>
        <w:numPr>
          <w:ilvl w:val="0"/>
          <w:numId w:val="1"/>
        </w:numPr>
        <w:spacing w:after="80" w:line="300" w:lineRule="auto"/>
        <w:rPr>
          <w:lang w:val="fr-FR"/>
        </w:rPr>
      </w:pPr>
      <w:r w:rsidRPr="00D72345">
        <w:rPr>
          <w:rFonts w:eastAsia="Calibri"/>
          <w:color w:val="111111"/>
          <w:lang w:val="fr-FR"/>
        </w:rPr>
        <w:t>Lister deux scénarios : plus restrictif que prévu et plus accommodant que prévu.</w:t>
      </w:r>
    </w:p>
    <w:p w14:paraId="5D7D1219" w14:textId="77777777" w:rsidR="00F86FAD" w:rsidRPr="00D72345" w:rsidRDefault="00000000">
      <w:pPr>
        <w:numPr>
          <w:ilvl w:val="0"/>
          <w:numId w:val="1"/>
        </w:numPr>
        <w:spacing w:after="80" w:line="300" w:lineRule="auto"/>
        <w:rPr>
          <w:lang w:val="fr-FR"/>
        </w:rPr>
      </w:pPr>
      <w:r w:rsidRPr="00D72345">
        <w:rPr>
          <w:rFonts w:eastAsia="Calibri"/>
          <w:color w:val="111111"/>
          <w:lang w:val="fr-FR"/>
        </w:rPr>
        <w:t>Choisir les actifs directement liés : taux courts, obligations, devise, indice actions et secteurs sensibles.</w:t>
      </w:r>
    </w:p>
    <w:p w14:paraId="222C247F" w14:textId="77777777" w:rsidR="00F86FAD" w:rsidRPr="00D72345" w:rsidRDefault="00000000">
      <w:pPr>
        <w:numPr>
          <w:ilvl w:val="0"/>
          <w:numId w:val="1"/>
        </w:numPr>
        <w:spacing w:after="80" w:line="300" w:lineRule="auto"/>
        <w:rPr>
          <w:lang w:val="fr-FR"/>
        </w:rPr>
      </w:pPr>
      <w:r w:rsidRPr="00D72345">
        <w:rPr>
          <w:rFonts w:eastAsia="Calibri"/>
          <w:color w:val="111111"/>
          <w:lang w:val="fr-FR"/>
        </w:rPr>
        <w:t>Réduire le risque si la volatilité potentielle dépasse ce que le plan peut supporter.</w:t>
      </w:r>
    </w:p>
    <w:p w14:paraId="1280E6B2" w14:textId="77777777" w:rsidR="00F86FAD" w:rsidRDefault="00000000">
      <w:pPr>
        <w:pStyle w:val="Titre2"/>
      </w:pPr>
      <w:r>
        <w:t>8.2 Pendant la publication</w:t>
      </w:r>
    </w:p>
    <w:p w14:paraId="761EE3DF" w14:textId="77777777" w:rsidR="00F86FAD" w:rsidRPr="00D72345" w:rsidRDefault="00000000">
      <w:pPr>
        <w:numPr>
          <w:ilvl w:val="0"/>
          <w:numId w:val="1"/>
        </w:numPr>
        <w:spacing w:after="80" w:line="300" w:lineRule="auto"/>
        <w:rPr>
          <w:lang w:val="fr-FR"/>
        </w:rPr>
      </w:pPr>
      <w:r w:rsidRPr="00D72345">
        <w:rPr>
          <w:rFonts w:eastAsia="Calibri"/>
          <w:color w:val="111111"/>
          <w:lang w:val="fr-FR"/>
        </w:rPr>
        <w:t>Lire la décision avant d'interpréter la première bougie.</w:t>
      </w:r>
    </w:p>
    <w:p w14:paraId="1A18DE78" w14:textId="77777777" w:rsidR="00F86FAD" w:rsidRPr="00D72345" w:rsidRDefault="00000000">
      <w:pPr>
        <w:numPr>
          <w:ilvl w:val="0"/>
          <w:numId w:val="1"/>
        </w:numPr>
        <w:spacing w:after="80" w:line="300" w:lineRule="auto"/>
        <w:rPr>
          <w:lang w:val="fr-FR"/>
        </w:rPr>
      </w:pPr>
      <w:r w:rsidRPr="00D72345">
        <w:rPr>
          <w:rFonts w:eastAsia="Calibri"/>
          <w:color w:val="111111"/>
          <w:lang w:val="fr-FR"/>
        </w:rPr>
        <w:t>Comparer au consensus : taux, bilan, projections et vote.</w:t>
      </w:r>
    </w:p>
    <w:p w14:paraId="471B7032" w14:textId="77777777" w:rsidR="00F86FAD" w:rsidRPr="00D72345" w:rsidRDefault="00000000">
      <w:pPr>
        <w:numPr>
          <w:ilvl w:val="0"/>
          <w:numId w:val="1"/>
        </w:numPr>
        <w:spacing w:after="80" w:line="300" w:lineRule="auto"/>
        <w:rPr>
          <w:lang w:val="fr-FR"/>
        </w:rPr>
      </w:pPr>
      <w:r w:rsidRPr="00D72345">
        <w:rPr>
          <w:rFonts w:eastAsia="Calibri"/>
          <w:color w:val="111111"/>
          <w:lang w:val="fr-FR"/>
        </w:rPr>
        <w:t>Observer les rendements obligataires et la devise avant de conclure sur les actions.</w:t>
      </w:r>
    </w:p>
    <w:p w14:paraId="02ABF666" w14:textId="77777777" w:rsidR="00F86FAD" w:rsidRPr="00D72345" w:rsidRDefault="00000000">
      <w:pPr>
        <w:numPr>
          <w:ilvl w:val="0"/>
          <w:numId w:val="1"/>
        </w:numPr>
        <w:spacing w:after="80" w:line="300" w:lineRule="auto"/>
        <w:rPr>
          <w:lang w:val="fr-FR"/>
        </w:rPr>
      </w:pPr>
      <w:r w:rsidRPr="00D72345">
        <w:rPr>
          <w:rFonts w:eastAsia="Calibri"/>
          <w:color w:val="111111"/>
          <w:lang w:val="fr-FR"/>
        </w:rPr>
        <w:t>Attendre la conférence de presse si elle fait partie de l'événement.</w:t>
      </w:r>
    </w:p>
    <w:p w14:paraId="1A185E6E" w14:textId="77777777" w:rsidR="00F86FAD" w:rsidRPr="00D72345" w:rsidRDefault="00000000">
      <w:pPr>
        <w:numPr>
          <w:ilvl w:val="0"/>
          <w:numId w:val="1"/>
        </w:numPr>
        <w:spacing w:after="80" w:line="300" w:lineRule="auto"/>
        <w:rPr>
          <w:lang w:val="fr-FR"/>
        </w:rPr>
      </w:pPr>
      <w:r w:rsidRPr="00D72345">
        <w:rPr>
          <w:rFonts w:eastAsia="Calibri"/>
          <w:color w:val="111111"/>
          <w:lang w:val="fr-FR"/>
        </w:rPr>
        <w:t>Accepter qu'un premier mouvement puisse être inversé quelques minutes plus tard.</w:t>
      </w:r>
    </w:p>
    <w:p w14:paraId="33EB5E5B" w14:textId="77777777" w:rsidR="00F86FAD" w:rsidRDefault="00000000">
      <w:pPr>
        <w:pStyle w:val="Titre2"/>
      </w:pPr>
      <w:r>
        <w:t>8.3 Après la réunion</w:t>
      </w:r>
    </w:p>
    <w:p w14:paraId="678FA2F8" w14:textId="77777777" w:rsidR="00F86FAD" w:rsidRPr="00D72345" w:rsidRDefault="00000000">
      <w:pPr>
        <w:numPr>
          <w:ilvl w:val="0"/>
          <w:numId w:val="1"/>
        </w:numPr>
        <w:spacing w:after="80" w:line="300" w:lineRule="auto"/>
        <w:rPr>
          <w:lang w:val="fr-FR"/>
        </w:rPr>
      </w:pPr>
      <w:r w:rsidRPr="00D72345">
        <w:rPr>
          <w:rFonts w:eastAsia="Calibri"/>
          <w:color w:val="111111"/>
          <w:lang w:val="fr-FR"/>
        </w:rPr>
        <w:t>Vérifier ce qui a réellement changé dans la trajectoire future.</w:t>
      </w:r>
    </w:p>
    <w:p w14:paraId="0C6C031A" w14:textId="77777777" w:rsidR="00F86FAD" w:rsidRPr="00D72345" w:rsidRDefault="00000000">
      <w:pPr>
        <w:numPr>
          <w:ilvl w:val="0"/>
          <w:numId w:val="1"/>
        </w:numPr>
        <w:spacing w:after="80" w:line="300" w:lineRule="auto"/>
        <w:rPr>
          <w:lang w:val="fr-FR"/>
        </w:rPr>
      </w:pPr>
      <w:r w:rsidRPr="00D72345">
        <w:rPr>
          <w:rFonts w:eastAsia="Calibri"/>
          <w:color w:val="111111"/>
          <w:lang w:val="fr-FR"/>
        </w:rPr>
        <w:t>Distinguer la réaction d'une séance de la tendance des semaines suivantes.</w:t>
      </w:r>
    </w:p>
    <w:p w14:paraId="26BFAB5A" w14:textId="77777777" w:rsidR="00F86FAD" w:rsidRPr="00D72345" w:rsidRDefault="00000000">
      <w:pPr>
        <w:numPr>
          <w:ilvl w:val="0"/>
          <w:numId w:val="1"/>
        </w:numPr>
        <w:spacing w:after="80" w:line="300" w:lineRule="auto"/>
        <w:rPr>
          <w:lang w:val="fr-FR"/>
        </w:rPr>
      </w:pPr>
      <w:r w:rsidRPr="00D72345">
        <w:rPr>
          <w:rFonts w:eastAsia="Calibri"/>
          <w:color w:val="111111"/>
          <w:lang w:val="fr-FR"/>
        </w:rPr>
        <w:t>Relier le mouvement à la structure technique : support, résistance, bougie, volume et invalidation.</w:t>
      </w:r>
    </w:p>
    <w:p w14:paraId="221D6A4C" w14:textId="77777777" w:rsidR="00F86FAD" w:rsidRPr="00D72345" w:rsidRDefault="00000000">
      <w:pPr>
        <w:numPr>
          <w:ilvl w:val="0"/>
          <w:numId w:val="1"/>
        </w:numPr>
        <w:spacing w:after="80" w:line="300" w:lineRule="auto"/>
        <w:rPr>
          <w:lang w:val="fr-FR"/>
        </w:rPr>
      </w:pPr>
      <w:r w:rsidRPr="00D72345">
        <w:rPr>
          <w:rFonts w:eastAsia="Calibri"/>
          <w:color w:val="111111"/>
          <w:lang w:val="fr-FR"/>
        </w:rPr>
        <w:t>Mettre à jour le scénario avec les prochaines données d'inflation et d'emploi.</w:t>
      </w:r>
    </w:p>
    <w:p w14:paraId="5D83ADD7" w14:textId="77777777" w:rsidR="00F86FAD" w:rsidRPr="00D72345" w:rsidRDefault="00000000">
      <w:pPr>
        <w:numPr>
          <w:ilvl w:val="0"/>
          <w:numId w:val="1"/>
        </w:numPr>
        <w:spacing w:after="80" w:line="300" w:lineRule="auto"/>
        <w:rPr>
          <w:lang w:val="fr-FR"/>
        </w:rPr>
      </w:pPr>
      <w:r w:rsidRPr="00D72345">
        <w:rPr>
          <w:rFonts w:eastAsia="Calibri"/>
          <w:color w:val="111111"/>
          <w:lang w:val="fr-FR"/>
        </w:rPr>
        <w:t>Documenter l'erreur éventuelle : mauvaise lecture du consensus, sens de cotation ou horizon confondu.</w:t>
      </w:r>
    </w:p>
    <w:p w14:paraId="1FB0EED8" w14:textId="77777777" w:rsidR="00F86FAD" w:rsidRDefault="00000000">
      <w:pPr>
        <w:pStyle w:val="Titre2"/>
      </w:pPr>
      <w:r>
        <w:t>8.4 Matrice de réaction</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200"/>
        <w:gridCol w:w="3000"/>
        <w:gridCol w:w="1800"/>
        <w:gridCol w:w="2360"/>
      </w:tblGrid>
      <w:tr w:rsidR="00F86FAD" w14:paraId="77F0C62D" w14:textId="77777777">
        <w:trPr>
          <w:cantSplit/>
          <w:tblHeader/>
        </w:trPr>
        <w:tc>
          <w:tcPr>
            <w:tcW w:w="2200" w:type="dxa"/>
            <w:shd w:val="clear" w:color="auto" w:fill="F4F6F9"/>
            <w:tcMar>
              <w:top w:w="80" w:type="dxa"/>
              <w:left w:w="120" w:type="dxa"/>
              <w:bottom w:w="80" w:type="dxa"/>
              <w:right w:w="120" w:type="dxa"/>
            </w:tcMar>
            <w:vAlign w:val="center"/>
          </w:tcPr>
          <w:p w14:paraId="61C790DC" w14:textId="77777777" w:rsidR="00F86FAD" w:rsidRDefault="00000000">
            <w:pPr>
              <w:spacing w:after="0" w:line="283" w:lineRule="auto"/>
              <w:jc w:val="left"/>
            </w:pPr>
            <w:r>
              <w:rPr>
                <w:rFonts w:eastAsia="Calibri"/>
                <w:b/>
                <w:color w:val="0B2545"/>
                <w:sz w:val="19"/>
              </w:rPr>
              <w:t>Résultat</w:t>
            </w:r>
          </w:p>
        </w:tc>
        <w:tc>
          <w:tcPr>
            <w:tcW w:w="3000" w:type="dxa"/>
            <w:shd w:val="clear" w:color="auto" w:fill="F4F6F9"/>
            <w:tcMar>
              <w:top w:w="80" w:type="dxa"/>
              <w:left w:w="120" w:type="dxa"/>
              <w:bottom w:w="80" w:type="dxa"/>
              <w:right w:w="120" w:type="dxa"/>
            </w:tcMar>
            <w:vAlign w:val="center"/>
          </w:tcPr>
          <w:p w14:paraId="400D3132" w14:textId="77777777" w:rsidR="00F86FAD" w:rsidRDefault="00000000">
            <w:pPr>
              <w:spacing w:after="0" w:line="283" w:lineRule="auto"/>
              <w:jc w:val="left"/>
            </w:pPr>
            <w:r>
              <w:rPr>
                <w:rFonts w:eastAsia="Calibri"/>
                <w:b/>
                <w:color w:val="0B2545"/>
                <w:sz w:val="19"/>
              </w:rPr>
              <w:t>Taux / obligations</w:t>
            </w:r>
          </w:p>
        </w:tc>
        <w:tc>
          <w:tcPr>
            <w:tcW w:w="1800" w:type="dxa"/>
            <w:shd w:val="clear" w:color="auto" w:fill="F4F6F9"/>
            <w:tcMar>
              <w:top w:w="80" w:type="dxa"/>
              <w:left w:w="120" w:type="dxa"/>
              <w:bottom w:w="80" w:type="dxa"/>
              <w:right w:w="120" w:type="dxa"/>
            </w:tcMar>
            <w:vAlign w:val="center"/>
          </w:tcPr>
          <w:p w14:paraId="55252CDF" w14:textId="77777777" w:rsidR="00F86FAD" w:rsidRDefault="00000000">
            <w:pPr>
              <w:spacing w:after="0" w:line="283" w:lineRule="auto"/>
              <w:jc w:val="left"/>
            </w:pPr>
            <w:r>
              <w:rPr>
                <w:rFonts w:eastAsia="Calibri"/>
                <w:b/>
                <w:color w:val="0B2545"/>
                <w:sz w:val="19"/>
              </w:rPr>
              <w:t>Devise</w:t>
            </w:r>
          </w:p>
        </w:tc>
        <w:tc>
          <w:tcPr>
            <w:tcW w:w="2360" w:type="dxa"/>
            <w:shd w:val="clear" w:color="auto" w:fill="F4F6F9"/>
            <w:tcMar>
              <w:top w:w="80" w:type="dxa"/>
              <w:left w:w="120" w:type="dxa"/>
              <w:bottom w:w="80" w:type="dxa"/>
              <w:right w:w="120" w:type="dxa"/>
            </w:tcMar>
            <w:vAlign w:val="center"/>
          </w:tcPr>
          <w:p w14:paraId="0E373B76" w14:textId="77777777" w:rsidR="00F86FAD" w:rsidRDefault="00000000">
            <w:pPr>
              <w:spacing w:after="0" w:line="283" w:lineRule="auto"/>
              <w:jc w:val="left"/>
            </w:pPr>
            <w:r>
              <w:rPr>
                <w:rFonts w:eastAsia="Calibri"/>
                <w:b/>
                <w:color w:val="0B2545"/>
                <w:sz w:val="19"/>
              </w:rPr>
              <w:t>Actions</w:t>
            </w:r>
          </w:p>
        </w:tc>
      </w:tr>
      <w:tr w:rsidR="00F86FAD" w:rsidRPr="00D72345" w14:paraId="30E82C82" w14:textId="77777777">
        <w:trPr>
          <w:cantSplit/>
        </w:trPr>
        <w:tc>
          <w:tcPr>
            <w:tcW w:w="2200" w:type="dxa"/>
            <w:tcMar>
              <w:top w:w="80" w:type="dxa"/>
              <w:left w:w="120" w:type="dxa"/>
              <w:bottom w:w="80" w:type="dxa"/>
              <w:right w:w="120" w:type="dxa"/>
            </w:tcMar>
            <w:vAlign w:val="center"/>
          </w:tcPr>
          <w:p w14:paraId="6AEFA1E8" w14:textId="77777777" w:rsidR="00F86FAD" w:rsidRDefault="00000000">
            <w:pPr>
              <w:spacing w:after="0" w:line="283" w:lineRule="auto"/>
              <w:jc w:val="left"/>
            </w:pPr>
            <w:r>
              <w:rPr>
                <w:rFonts w:eastAsia="Calibri"/>
                <w:sz w:val="19"/>
              </w:rPr>
              <w:t>Plus hawkish que prévu</w:t>
            </w:r>
          </w:p>
        </w:tc>
        <w:tc>
          <w:tcPr>
            <w:tcW w:w="3000" w:type="dxa"/>
            <w:tcMar>
              <w:top w:w="80" w:type="dxa"/>
              <w:left w:w="120" w:type="dxa"/>
              <w:bottom w:w="80" w:type="dxa"/>
              <w:right w:w="120" w:type="dxa"/>
            </w:tcMar>
            <w:vAlign w:val="center"/>
          </w:tcPr>
          <w:p w14:paraId="06234156" w14:textId="77777777" w:rsidR="00F86FAD" w:rsidRPr="00D72345" w:rsidRDefault="00000000">
            <w:pPr>
              <w:spacing w:after="0" w:line="283" w:lineRule="auto"/>
              <w:jc w:val="left"/>
              <w:rPr>
                <w:lang w:val="fr-FR"/>
              </w:rPr>
            </w:pPr>
            <w:r w:rsidRPr="00D72345">
              <w:rPr>
                <w:rFonts w:eastAsia="Calibri"/>
                <w:sz w:val="19"/>
                <w:lang w:val="fr-FR"/>
              </w:rPr>
              <w:t>Rendements souvent en hausse ; prix obligataires sous pression</w:t>
            </w:r>
          </w:p>
        </w:tc>
        <w:tc>
          <w:tcPr>
            <w:tcW w:w="1800" w:type="dxa"/>
            <w:tcMar>
              <w:top w:w="80" w:type="dxa"/>
              <w:left w:w="120" w:type="dxa"/>
              <w:bottom w:w="80" w:type="dxa"/>
              <w:right w:w="120" w:type="dxa"/>
            </w:tcMar>
            <w:vAlign w:val="center"/>
          </w:tcPr>
          <w:p w14:paraId="118E440E" w14:textId="77777777" w:rsidR="00F86FAD" w:rsidRDefault="00000000">
            <w:pPr>
              <w:spacing w:after="0" w:line="283" w:lineRule="auto"/>
              <w:jc w:val="left"/>
            </w:pPr>
            <w:r>
              <w:rPr>
                <w:rFonts w:eastAsia="Calibri"/>
                <w:sz w:val="19"/>
              </w:rPr>
              <w:t>Souvent soutenue</w:t>
            </w:r>
          </w:p>
        </w:tc>
        <w:tc>
          <w:tcPr>
            <w:tcW w:w="2360" w:type="dxa"/>
            <w:tcMar>
              <w:top w:w="80" w:type="dxa"/>
              <w:left w:w="120" w:type="dxa"/>
              <w:bottom w:w="80" w:type="dxa"/>
              <w:right w:w="120" w:type="dxa"/>
            </w:tcMar>
            <w:vAlign w:val="center"/>
          </w:tcPr>
          <w:p w14:paraId="19D58F53" w14:textId="77777777" w:rsidR="00F86FAD" w:rsidRPr="00D72345" w:rsidRDefault="00000000">
            <w:pPr>
              <w:spacing w:after="0" w:line="283" w:lineRule="auto"/>
              <w:jc w:val="left"/>
              <w:rPr>
                <w:lang w:val="fr-FR"/>
              </w:rPr>
            </w:pPr>
            <w:r w:rsidRPr="00D72345">
              <w:rPr>
                <w:rFonts w:eastAsia="Calibri"/>
                <w:sz w:val="19"/>
                <w:lang w:val="fr-FR"/>
              </w:rPr>
              <w:t>Souvent sous pression, surtout croissance</w:t>
            </w:r>
          </w:p>
        </w:tc>
      </w:tr>
      <w:tr w:rsidR="00F86FAD" w14:paraId="6BE974BC" w14:textId="77777777">
        <w:trPr>
          <w:cantSplit/>
        </w:trPr>
        <w:tc>
          <w:tcPr>
            <w:tcW w:w="2200" w:type="dxa"/>
            <w:shd w:val="clear" w:color="auto" w:fill="FAFBFC"/>
            <w:tcMar>
              <w:top w:w="80" w:type="dxa"/>
              <w:left w:w="120" w:type="dxa"/>
              <w:bottom w:w="80" w:type="dxa"/>
              <w:right w:w="120" w:type="dxa"/>
            </w:tcMar>
            <w:vAlign w:val="center"/>
          </w:tcPr>
          <w:p w14:paraId="56004A65" w14:textId="77777777" w:rsidR="00F86FAD" w:rsidRDefault="00000000">
            <w:pPr>
              <w:spacing w:after="0" w:line="283" w:lineRule="auto"/>
              <w:jc w:val="left"/>
            </w:pPr>
            <w:r>
              <w:rPr>
                <w:rFonts w:eastAsia="Calibri"/>
                <w:sz w:val="19"/>
              </w:rPr>
              <w:t>Conforme aux attentes</w:t>
            </w:r>
          </w:p>
        </w:tc>
        <w:tc>
          <w:tcPr>
            <w:tcW w:w="3000" w:type="dxa"/>
            <w:shd w:val="clear" w:color="auto" w:fill="FAFBFC"/>
            <w:tcMar>
              <w:top w:w="80" w:type="dxa"/>
              <w:left w:w="120" w:type="dxa"/>
              <w:bottom w:w="80" w:type="dxa"/>
              <w:right w:w="120" w:type="dxa"/>
            </w:tcMar>
            <w:vAlign w:val="center"/>
          </w:tcPr>
          <w:p w14:paraId="6432F65B" w14:textId="77777777" w:rsidR="00F86FAD" w:rsidRPr="00D72345" w:rsidRDefault="00000000">
            <w:pPr>
              <w:spacing w:after="0" w:line="283" w:lineRule="auto"/>
              <w:jc w:val="left"/>
              <w:rPr>
                <w:lang w:val="fr-FR"/>
              </w:rPr>
            </w:pPr>
            <w:r w:rsidRPr="00D72345">
              <w:rPr>
                <w:rFonts w:eastAsia="Calibri"/>
                <w:sz w:val="19"/>
                <w:lang w:val="fr-FR"/>
              </w:rPr>
              <w:t>Réaction limitée ou guidée par les détails</w:t>
            </w:r>
          </w:p>
        </w:tc>
        <w:tc>
          <w:tcPr>
            <w:tcW w:w="1800" w:type="dxa"/>
            <w:shd w:val="clear" w:color="auto" w:fill="FAFBFC"/>
            <w:tcMar>
              <w:top w:w="80" w:type="dxa"/>
              <w:left w:w="120" w:type="dxa"/>
              <w:bottom w:w="80" w:type="dxa"/>
              <w:right w:w="120" w:type="dxa"/>
            </w:tcMar>
            <w:vAlign w:val="center"/>
          </w:tcPr>
          <w:p w14:paraId="1221EFF5" w14:textId="77777777" w:rsidR="00F86FAD" w:rsidRDefault="00000000">
            <w:pPr>
              <w:spacing w:after="0" w:line="283" w:lineRule="auto"/>
              <w:jc w:val="left"/>
            </w:pPr>
            <w:r>
              <w:rPr>
                <w:rFonts w:eastAsia="Calibri"/>
                <w:sz w:val="19"/>
              </w:rPr>
              <w:t>Dépend du message futur</w:t>
            </w:r>
          </w:p>
        </w:tc>
        <w:tc>
          <w:tcPr>
            <w:tcW w:w="2360" w:type="dxa"/>
            <w:shd w:val="clear" w:color="auto" w:fill="FAFBFC"/>
            <w:tcMar>
              <w:top w:w="80" w:type="dxa"/>
              <w:left w:w="120" w:type="dxa"/>
              <w:bottom w:w="80" w:type="dxa"/>
              <w:right w:w="120" w:type="dxa"/>
            </w:tcMar>
            <w:vAlign w:val="center"/>
          </w:tcPr>
          <w:p w14:paraId="3AFF36E3" w14:textId="77777777" w:rsidR="00F86FAD" w:rsidRDefault="00000000">
            <w:pPr>
              <w:spacing w:after="0" w:line="283" w:lineRule="auto"/>
              <w:jc w:val="left"/>
            </w:pPr>
            <w:r>
              <w:rPr>
                <w:rFonts w:eastAsia="Calibri"/>
                <w:sz w:val="19"/>
              </w:rPr>
              <w:t>Dépend du positionnement</w:t>
            </w:r>
          </w:p>
        </w:tc>
      </w:tr>
      <w:tr w:rsidR="00F86FAD" w:rsidRPr="00D72345" w14:paraId="680BA5C2" w14:textId="77777777">
        <w:trPr>
          <w:cantSplit/>
        </w:trPr>
        <w:tc>
          <w:tcPr>
            <w:tcW w:w="2200" w:type="dxa"/>
            <w:tcMar>
              <w:top w:w="80" w:type="dxa"/>
              <w:left w:w="120" w:type="dxa"/>
              <w:bottom w:w="80" w:type="dxa"/>
              <w:right w:w="120" w:type="dxa"/>
            </w:tcMar>
            <w:vAlign w:val="center"/>
          </w:tcPr>
          <w:p w14:paraId="76303B11" w14:textId="77777777" w:rsidR="00F86FAD" w:rsidRDefault="00000000">
            <w:pPr>
              <w:spacing w:after="0" w:line="283" w:lineRule="auto"/>
              <w:jc w:val="left"/>
            </w:pPr>
            <w:r>
              <w:rPr>
                <w:rFonts w:eastAsia="Calibri"/>
                <w:sz w:val="19"/>
              </w:rPr>
              <w:t>Plus dovish que prévu</w:t>
            </w:r>
          </w:p>
        </w:tc>
        <w:tc>
          <w:tcPr>
            <w:tcW w:w="3000" w:type="dxa"/>
            <w:tcMar>
              <w:top w:w="80" w:type="dxa"/>
              <w:left w:w="120" w:type="dxa"/>
              <w:bottom w:w="80" w:type="dxa"/>
              <w:right w:w="120" w:type="dxa"/>
            </w:tcMar>
            <w:vAlign w:val="center"/>
          </w:tcPr>
          <w:p w14:paraId="3356F53C" w14:textId="77777777" w:rsidR="00F86FAD" w:rsidRPr="00D72345" w:rsidRDefault="00000000">
            <w:pPr>
              <w:spacing w:after="0" w:line="283" w:lineRule="auto"/>
              <w:jc w:val="left"/>
              <w:rPr>
                <w:lang w:val="fr-FR"/>
              </w:rPr>
            </w:pPr>
            <w:r w:rsidRPr="00D72345">
              <w:rPr>
                <w:rFonts w:eastAsia="Calibri"/>
                <w:sz w:val="19"/>
                <w:lang w:val="fr-FR"/>
              </w:rPr>
              <w:t>Rendements souvent en baisse ; obligations soutenues</w:t>
            </w:r>
          </w:p>
        </w:tc>
        <w:tc>
          <w:tcPr>
            <w:tcW w:w="1800" w:type="dxa"/>
            <w:tcMar>
              <w:top w:w="80" w:type="dxa"/>
              <w:left w:w="120" w:type="dxa"/>
              <w:bottom w:w="80" w:type="dxa"/>
              <w:right w:w="120" w:type="dxa"/>
            </w:tcMar>
            <w:vAlign w:val="center"/>
          </w:tcPr>
          <w:p w14:paraId="2A0AD497" w14:textId="77777777" w:rsidR="00F86FAD" w:rsidRDefault="00000000">
            <w:pPr>
              <w:spacing w:after="0" w:line="283" w:lineRule="auto"/>
              <w:jc w:val="left"/>
            </w:pPr>
            <w:r>
              <w:rPr>
                <w:rFonts w:eastAsia="Calibri"/>
                <w:sz w:val="19"/>
              </w:rPr>
              <w:t>Souvent affaiblie</w:t>
            </w:r>
          </w:p>
        </w:tc>
        <w:tc>
          <w:tcPr>
            <w:tcW w:w="2360" w:type="dxa"/>
            <w:tcMar>
              <w:top w:w="80" w:type="dxa"/>
              <w:left w:w="120" w:type="dxa"/>
              <w:bottom w:w="80" w:type="dxa"/>
              <w:right w:w="120" w:type="dxa"/>
            </w:tcMar>
            <w:vAlign w:val="center"/>
          </w:tcPr>
          <w:p w14:paraId="7C8A7DDE" w14:textId="77777777" w:rsidR="00F86FAD" w:rsidRPr="00D72345" w:rsidRDefault="00000000">
            <w:pPr>
              <w:spacing w:after="0" w:line="283" w:lineRule="auto"/>
              <w:jc w:val="left"/>
              <w:rPr>
                <w:lang w:val="fr-FR"/>
              </w:rPr>
            </w:pPr>
            <w:r w:rsidRPr="00D72345">
              <w:rPr>
                <w:rFonts w:eastAsia="Calibri"/>
                <w:sz w:val="19"/>
                <w:lang w:val="fr-FR"/>
              </w:rPr>
              <w:t>Souvent soutenues si le message ne révèle pas une crise</w:t>
            </w:r>
          </w:p>
        </w:tc>
      </w:tr>
    </w:tbl>
    <w:p w14:paraId="21E2E3E9" w14:textId="77777777" w:rsidR="00F86FAD" w:rsidRPr="00D72345" w:rsidRDefault="00F86FAD">
      <w:pPr>
        <w:spacing w:after="100"/>
        <w:rPr>
          <w:lang w:val="fr-FR"/>
        </w:rPr>
      </w:pPr>
    </w:p>
    <w:p w14:paraId="184E32B8" w14:textId="77777777" w:rsidR="00F86FAD" w:rsidRPr="00D72345" w:rsidRDefault="00000000">
      <w:pPr>
        <w:keepLines/>
        <w:pBdr>
          <w:left w:val="single" w:sz="18" w:space="8" w:color="A61B1B"/>
        </w:pBdr>
        <w:shd w:val="clear" w:color="auto" w:fill="FCEDED"/>
        <w:spacing w:before="100" w:after="200" w:line="288" w:lineRule="auto"/>
        <w:ind w:left="173" w:right="115"/>
        <w:rPr>
          <w:lang w:val="fr-FR"/>
        </w:rPr>
      </w:pPr>
      <w:r w:rsidRPr="00D72345">
        <w:rPr>
          <w:rFonts w:eastAsia="Calibri"/>
          <w:b/>
          <w:color w:val="A61B1B"/>
          <w:sz w:val="20"/>
          <w:lang w:val="fr-FR"/>
        </w:rPr>
        <w:t xml:space="preserve">CETTE MATRICE N'EST PAS UNE </w:t>
      </w:r>
      <w:proofErr w:type="gramStart"/>
      <w:r w:rsidRPr="00D72345">
        <w:rPr>
          <w:rFonts w:eastAsia="Calibri"/>
          <w:b/>
          <w:color w:val="A61B1B"/>
          <w:sz w:val="20"/>
          <w:lang w:val="fr-FR"/>
        </w:rPr>
        <w:t xml:space="preserve">STRATÉGIE  </w:t>
      </w:r>
      <w:r w:rsidRPr="00D72345">
        <w:rPr>
          <w:rFonts w:eastAsia="Calibri"/>
          <w:sz w:val="21"/>
          <w:lang w:val="fr-FR"/>
        </w:rPr>
        <w:t>Elle</w:t>
      </w:r>
      <w:proofErr w:type="gramEnd"/>
      <w:r w:rsidRPr="00D72345">
        <w:rPr>
          <w:rFonts w:eastAsia="Calibri"/>
          <w:sz w:val="21"/>
          <w:lang w:val="fr-FR"/>
        </w:rPr>
        <w:t xml:space="preserve"> décrit des réactions fréquentes. Le contexte, la valorisation, la cause de la décision, le positionnement et la crédibilité peuvent inverser le résultat.</w:t>
      </w:r>
    </w:p>
    <w:p w14:paraId="0AFC84DA" w14:textId="77777777" w:rsidR="00F86FAD" w:rsidRDefault="00000000">
      <w:pPr>
        <w:pStyle w:val="Titre2"/>
      </w:pPr>
      <w:r>
        <w:t>8.5 Les erreurs les plus fréquentes</w:t>
      </w:r>
    </w:p>
    <w:p w14:paraId="14816807" w14:textId="77777777" w:rsidR="00F86FAD" w:rsidRPr="00D72345" w:rsidRDefault="00000000">
      <w:pPr>
        <w:numPr>
          <w:ilvl w:val="0"/>
          <w:numId w:val="1"/>
        </w:numPr>
        <w:spacing w:after="80" w:line="300" w:lineRule="auto"/>
        <w:rPr>
          <w:lang w:val="fr-FR"/>
        </w:rPr>
      </w:pPr>
      <w:r w:rsidRPr="00D72345">
        <w:rPr>
          <w:rFonts w:eastAsia="Calibri"/>
          <w:color w:val="111111"/>
          <w:lang w:val="fr-FR"/>
        </w:rPr>
        <w:t>Regarder uniquement la hausse ou la baisse de taux sans comparer aux attentes.</w:t>
      </w:r>
    </w:p>
    <w:p w14:paraId="43809D4C" w14:textId="77777777" w:rsidR="00F86FAD" w:rsidRPr="00D72345" w:rsidRDefault="00000000">
      <w:pPr>
        <w:numPr>
          <w:ilvl w:val="0"/>
          <w:numId w:val="1"/>
        </w:numPr>
        <w:spacing w:after="80" w:line="300" w:lineRule="auto"/>
        <w:rPr>
          <w:lang w:val="fr-FR"/>
        </w:rPr>
      </w:pPr>
      <w:r w:rsidRPr="00D72345">
        <w:rPr>
          <w:rFonts w:eastAsia="Calibri"/>
          <w:color w:val="111111"/>
          <w:lang w:val="fr-FR"/>
        </w:rPr>
        <w:t>Ignorer le communiqué, les projections et la conférence de presse.</w:t>
      </w:r>
    </w:p>
    <w:p w14:paraId="381F54C3" w14:textId="77777777" w:rsidR="00F86FAD" w:rsidRPr="00D72345" w:rsidRDefault="00000000">
      <w:pPr>
        <w:numPr>
          <w:ilvl w:val="0"/>
          <w:numId w:val="1"/>
        </w:numPr>
        <w:spacing w:after="80" w:line="300" w:lineRule="auto"/>
        <w:rPr>
          <w:lang w:val="fr-FR"/>
        </w:rPr>
      </w:pPr>
      <w:r w:rsidRPr="00D72345">
        <w:rPr>
          <w:rFonts w:eastAsia="Calibri"/>
          <w:color w:val="111111"/>
          <w:lang w:val="fr-FR"/>
        </w:rPr>
        <w:t>Confondre taux directeur, rendement obligataire et taux d'un crédit bancaire.</w:t>
      </w:r>
    </w:p>
    <w:p w14:paraId="250382C0" w14:textId="77777777" w:rsidR="00F86FAD" w:rsidRPr="00D72345" w:rsidRDefault="00000000">
      <w:pPr>
        <w:numPr>
          <w:ilvl w:val="0"/>
          <w:numId w:val="1"/>
        </w:numPr>
        <w:spacing w:after="80" w:line="300" w:lineRule="auto"/>
        <w:rPr>
          <w:lang w:val="fr-FR"/>
        </w:rPr>
      </w:pPr>
      <w:r w:rsidRPr="00D72345">
        <w:rPr>
          <w:rFonts w:eastAsia="Calibri"/>
          <w:color w:val="111111"/>
          <w:lang w:val="fr-FR"/>
        </w:rPr>
        <w:t>Penser que le QE correspond à de l'argent distribué directement aux ménages.</w:t>
      </w:r>
    </w:p>
    <w:p w14:paraId="12BBC549" w14:textId="77777777" w:rsidR="00F86FAD" w:rsidRPr="00D72345" w:rsidRDefault="00000000">
      <w:pPr>
        <w:numPr>
          <w:ilvl w:val="0"/>
          <w:numId w:val="1"/>
        </w:numPr>
        <w:spacing w:after="80" w:line="300" w:lineRule="auto"/>
        <w:rPr>
          <w:lang w:val="fr-FR"/>
        </w:rPr>
      </w:pPr>
      <w:r w:rsidRPr="00D72345">
        <w:rPr>
          <w:rFonts w:eastAsia="Calibri"/>
          <w:color w:val="111111"/>
          <w:lang w:val="fr-FR"/>
        </w:rPr>
        <w:t>Croire que toute hausse de taux renforce automatiquement la devise.</w:t>
      </w:r>
    </w:p>
    <w:p w14:paraId="488C4A93" w14:textId="77777777" w:rsidR="00F86FAD" w:rsidRPr="00D72345" w:rsidRDefault="00000000">
      <w:pPr>
        <w:numPr>
          <w:ilvl w:val="0"/>
          <w:numId w:val="1"/>
        </w:numPr>
        <w:spacing w:after="80" w:line="300" w:lineRule="auto"/>
        <w:rPr>
          <w:lang w:val="fr-FR"/>
        </w:rPr>
      </w:pPr>
      <w:r w:rsidRPr="00D72345">
        <w:rPr>
          <w:rFonts w:eastAsia="Calibri"/>
          <w:color w:val="111111"/>
          <w:lang w:val="fr-FR"/>
        </w:rPr>
        <w:t>Oublier qu'une paire de devises dépend de deux banques centrales.</w:t>
      </w:r>
    </w:p>
    <w:p w14:paraId="4915C710" w14:textId="77777777" w:rsidR="00F86FAD" w:rsidRPr="00D72345" w:rsidRDefault="00000000">
      <w:pPr>
        <w:numPr>
          <w:ilvl w:val="0"/>
          <w:numId w:val="1"/>
        </w:numPr>
        <w:spacing w:after="80" w:line="300" w:lineRule="auto"/>
        <w:rPr>
          <w:lang w:val="fr-FR"/>
        </w:rPr>
      </w:pPr>
      <w:r w:rsidRPr="00D72345">
        <w:rPr>
          <w:rFonts w:eastAsia="Calibri"/>
          <w:color w:val="111111"/>
          <w:lang w:val="fr-FR"/>
        </w:rPr>
        <w:t>Acheter une baisse de taux sans se demander si elle répond à une crise.</w:t>
      </w:r>
    </w:p>
    <w:p w14:paraId="63828C99" w14:textId="77777777" w:rsidR="00F86FAD" w:rsidRPr="00D72345" w:rsidRDefault="00000000">
      <w:pPr>
        <w:numPr>
          <w:ilvl w:val="0"/>
          <w:numId w:val="1"/>
        </w:numPr>
        <w:spacing w:after="80" w:line="300" w:lineRule="auto"/>
        <w:rPr>
          <w:lang w:val="fr-FR"/>
        </w:rPr>
      </w:pPr>
      <w:r w:rsidRPr="00D72345">
        <w:rPr>
          <w:rFonts w:eastAsia="Calibri"/>
          <w:color w:val="111111"/>
          <w:lang w:val="fr-FR"/>
        </w:rPr>
        <w:t>Prendre la première bougie comme confirmation définitive.</w:t>
      </w:r>
    </w:p>
    <w:p w14:paraId="2258B6FB" w14:textId="77777777" w:rsidR="00F86FAD" w:rsidRPr="00D72345" w:rsidRDefault="00000000">
      <w:pPr>
        <w:numPr>
          <w:ilvl w:val="0"/>
          <w:numId w:val="1"/>
        </w:numPr>
        <w:spacing w:after="80" w:line="300" w:lineRule="auto"/>
        <w:rPr>
          <w:lang w:val="fr-FR"/>
        </w:rPr>
      </w:pPr>
      <w:r w:rsidRPr="00D72345">
        <w:rPr>
          <w:rFonts w:eastAsia="Calibri"/>
          <w:color w:val="111111"/>
          <w:lang w:val="fr-FR"/>
        </w:rPr>
        <w:t>Expliquer un mouvement de plusieurs mois par une seule réunion.</w:t>
      </w:r>
    </w:p>
    <w:p w14:paraId="40707627" w14:textId="77777777" w:rsidR="00F86FAD" w:rsidRPr="00D72345" w:rsidRDefault="00000000">
      <w:pPr>
        <w:numPr>
          <w:ilvl w:val="0"/>
          <w:numId w:val="1"/>
        </w:numPr>
        <w:spacing w:after="80" w:line="300" w:lineRule="auto"/>
        <w:rPr>
          <w:lang w:val="fr-FR"/>
        </w:rPr>
      </w:pPr>
      <w:r w:rsidRPr="00D72345">
        <w:rPr>
          <w:rFonts w:eastAsia="Calibri"/>
          <w:color w:val="111111"/>
          <w:lang w:val="fr-FR"/>
        </w:rPr>
        <w:t>Augmenter le levier pendant une annonce parce que la direction semble évidente.</w:t>
      </w:r>
    </w:p>
    <w:p w14:paraId="35718E22" w14:textId="77777777" w:rsidR="00F86FAD" w:rsidRPr="00D72345" w:rsidRDefault="00000000">
      <w:pPr>
        <w:pStyle w:val="Titre2"/>
        <w:rPr>
          <w:lang w:val="fr-FR"/>
        </w:rPr>
      </w:pPr>
      <w:r w:rsidRPr="00D72345">
        <w:rPr>
          <w:lang w:val="fr-FR"/>
        </w:rPr>
        <w:t>8.6 Fiche de décision en dix questions</w:t>
      </w:r>
    </w:p>
    <w:p w14:paraId="606691A1" w14:textId="77777777" w:rsidR="00F86FAD" w:rsidRPr="00D72345" w:rsidRDefault="00000000">
      <w:pPr>
        <w:numPr>
          <w:ilvl w:val="0"/>
          <w:numId w:val="1"/>
        </w:numPr>
        <w:spacing w:after="80" w:line="300" w:lineRule="auto"/>
        <w:rPr>
          <w:lang w:val="fr-FR"/>
        </w:rPr>
      </w:pPr>
      <w:r w:rsidRPr="00D72345">
        <w:rPr>
          <w:rFonts w:eastAsia="Calibri"/>
          <w:color w:val="111111"/>
          <w:lang w:val="fr-FR"/>
        </w:rPr>
        <w:t>Quel est le mandat de la banque centrale ?</w:t>
      </w:r>
    </w:p>
    <w:p w14:paraId="59EDC12D" w14:textId="77777777" w:rsidR="00F86FAD" w:rsidRDefault="00000000">
      <w:pPr>
        <w:numPr>
          <w:ilvl w:val="0"/>
          <w:numId w:val="1"/>
        </w:numPr>
        <w:spacing w:after="80" w:line="300" w:lineRule="auto"/>
      </w:pPr>
      <w:r>
        <w:rPr>
          <w:rFonts w:eastAsia="Calibri"/>
          <w:color w:val="111111"/>
        </w:rPr>
        <w:t xml:space="preserve">Quel problème domine </w:t>
      </w:r>
      <w:proofErr w:type="gramStart"/>
      <w:r>
        <w:rPr>
          <w:rFonts w:eastAsia="Calibri"/>
          <w:color w:val="111111"/>
        </w:rPr>
        <w:t>aujourd'hui ?</w:t>
      </w:r>
      <w:proofErr w:type="gramEnd"/>
    </w:p>
    <w:p w14:paraId="1118C693" w14:textId="77777777" w:rsidR="00F86FAD" w:rsidRDefault="00000000">
      <w:pPr>
        <w:numPr>
          <w:ilvl w:val="0"/>
          <w:numId w:val="1"/>
        </w:numPr>
        <w:spacing w:after="80" w:line="300" w:lineRule="auto"/>
      </w:pPr>
      <w:r>
        <w:rPr>
          <w:rFonts w:eastAsia="Calibri"/>
          <w:color w:val="111111"/>
        </w:rPr>
        <w:t>Qu'attendait précisément le marché ?</w:t>
      </w:r>
    </w:p>
    <w:p w14:paraId="7E86A61A" w14:textId="77777777" w:rsidR="00F86FAD" w:rsidRPr="00D72345" w:rsidRDefault="00000000">
      <w:pPr>
        <w:numPr>
          <w:ilvl w:val="0"/>
          <w:numId w:val="1"/>
        </w:numPr>
        <w:spacing w:after="80" w:line="300" w:lineRule="auto"/>
        <w:rPr>
          <w:lang w:val="fr-FR"/>
        </w:rPr>
      </w:pPr>
      <w:r w:rsidRPr="00D72345">
        <w:rPr>
          <w:rFonts w:eastAsia="Calibri"/>
          <w:color w:val="111111"/>
          <w:lang w:val="fr-FR"/>
        </w:rPr>
        <w:t>Quelle décision a été prise ?</w:t>
      </w:r>
    </w:p>
    <w:p w14:paraId="0E9F3633" w14:textId="77777777" w:rsidR="00F86FAD" w:rsidRPr="00D72345" w:rsidRDefault="00000000">
      <w:pPr>
        <w:numPr>
          <w:ilvl w:val="0"/>
          <w:numId w:val="1"/>
        </w:numPr>
        <w:spacing w:after="80" w:line="300" w:lineRule="auto"/>
        <w:rPr>
          <w:lang w:val="fr-FR"/>
        </w:rPr>
      </w:pPr>
      <w:r w:rsidRPr="00D72345">
        <w:rPr>
          <w:rFonts w:eastAsia="Calibri"/>
          <w:color w:val="111111"/>
          <w:lang w:val="fr-FR"/>
        </w:rPr>
        <w:t>Quels mots ou prévisions ont changé ?</w:t>
      </w:r>
    </w:p>
    <w:p w14:paraId="0CEEF4A8" w14:textId="77777777" w:rsidR="00F86FAD" w:rsidRPr="00D72345" w:rsidRDefault="00000000">
      <w:pPr>
        <w:numPr>
          <w:ilvl w:val="0"/>
          <w:numId w:val="1"/>
        </w:numPr>
        <w:spacing w:after="80" w:line="300" w:lineRule="auto"/>
        <w:rPr>
          <w:lang w:val="fr-FR"/>
        </w:rPr>
      </w:pPr>
      <w:r w:rsidRPr="00D72345">
        <w:rPr>
          <w:rFonts w:eastAsia="Calibri"/>
          <w:color w:val="111111"/>
          <w:lang w:val="fr-FR"/>
        </w:rPr>
        <w:t>La trajectoire future est-elle plus hawkish ou plus dovish ?</w:t>
      </w:r>
    </w:p>
    <w:p w14:paraId="462C985D" w14:textId="77777777" w:rsidR="00F86FAD" w:rsidRPr="00D72345" w:rsidRDefault="00000000">
      <w:pPr>
        <w:numPr>
          <w:ilvl w:val="0"/>
          <w:numId w:val="1"/>
        </w:numPr>
        <w:spacing w:after="80" w:line="300" w:lineRule="auto"/>
        <w:rPr>
          <w:lang w:val="fr-FR"/>
        </w:rPr>
      </w:pPr>
      <w:r w:rsidRPr="00D72345">
        <w:rPr>
          <w:rFonts w:eastAsia="Calibri"/>
          <w:color w:val="111111"/>
          <w:lang w:val="fr-FR"/>
        </w:rPr>
        <w:t>Comment réagissent les taux courts et longs ?</w:t>
      </w:r>
    </w:p>
    <w:p w14:paraId="37DDFEA1" w14:textId="77777777" w:rsidR="00F86FAD" w:rsidRPr="00D72345" w:rsidRDefault="00000000">
      <w:pPr>
        <w:numPr>
          <w:ilvl w:val="0"/>
          <w:numId w:val="1"/>
        </w:numPr>
        <w:spacing w:after="80" w:line="300" w:lineRule="auto"/>
        <w:rPr>
          <w:lang w:val="fr-FR"/>
        </w:rPr>
      </w:pPr>
      <w:r w:rsidRPr="00D72345">
        <w:rPr>
          <w:rFonts w:eastAsia="Calibri"/>
          <w:color w:val="111111"/>
          <w:lang w:val="fr-FR"/>
        </w:rPr>
        <w:t>La devise confirme-t-elle cette lecture ?</w:t>
      </w:r>
    </w:p>
    <w:p w14:paraId="5A7E2DF8" w14:textId="77777777" w:rsidR="00F86FAD" w:rsidRPr="00D72345" w:rsidRDefault="00000000">
      <w:pPr>
        <w:numPr>
          <w:ilvl w:val="0"/>
          <w:numId w:val="1"/>
        </w:numPr>
        <w:spacing w:after="80" w:line="300" w:lineRule="auto"/>
        <w:rPr>
          <w:lang w:val="fr-FR"/>
        </w:rPr>
      </w:pPr>
      <w:r w:rsidRPr="00D72345">
        <w:rPr>
          <w:rFonts w:eastAsia="Calibri"/>
          <w:color w:val="111111"/>
          <w:lang w:val="fr-FR"/>
        </w:rPr>
        <w:t>Le mouvement technique est-il confirmé par le prix et le volume ?</w:t>
      </w:r>
    </w:p>
    <w:p w14:paraId="35B667E0" w14:textId="77777777" w:rsidR="00F86FAD" w:rsidRPr="00D72345" w:rsidRDefault="00000000">
      <w:pPr>
        <w:numPr>
          <w:ilvl w:val="0"/>
          <w:numId w:val="1"/>
        </w:numPr>
        <w:spacing w:after="80" w:line="300" w:lineRule="auto"/>
        <w:rPr>
          <w:lang w:val="fr-FR"/>
        </w:rPr>
      </w:pPr>
      <w:r w:rsidRPr="00D72345">
        <w:rPr>
          <w:rFonts w:eastAsia="Calibri"/>
          <w:color w:val="111111"/>
          <w:lang w:val="fr-FR"/>
        </w:rPr>
        <w:t> Où le scénario est-il invalidé et quelle perte maximale est acceptable ?</w:t>
      </w:r>
    </w:p>
    <w:p w14:paraId="31BBBB9E" w14:textId="77777777" w:rsidR="00F86FAD" w:rsidRDefault="00000000">
      <w:pPr>
        <w:pStyle w:val="Titre2"/>
      </w:pPr>
      <w:r>
        <w:t>8.7 Glossaire essentiel</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2200"/>
        <w:gridCol w:w="7160"/>
      </w:tblGrid>
      <w:tr w:rsidR="00F86FAD" w14:paraId="1EB52AB2" w14:textId="77777777">
        <w:trPr>
          <w:cantSplit/>
          <w:tblHeader/>
        </w:trPr>
        <w:tc>
          <w:tcPr>
            <w:tcW w:w="2200" w:type="dxa"/>
            <w:shd w:val="clear" w:color="auto" w:fill="F4F6F9"/>
            <w:tcMar>
              <w:top w:w="80" w:type="dxa"/>
              <w:left w:w="120" w:type="dxa"/>
              <w:bottom w:w="80" w:type="dxa"/>
              <w:right w:w="120" w:type="dxa"/>
            </w:tcMar>
            <w:vAlign w:val="center"/>
          </w:tcPr>
          <w:p w14:paraId="0A195B91" w14:textId="77777777" w:rsidR="00F86FAD" w:rsidRDefault="00000000">
            <w:pPr>
              <w:spacing w:after="0" w:line="283" w:lineRule="auto"/>
              <w:jc w:val="left"/>
            </w:pPr>
            <w:r>
              <w:rPr>
                <w:rFonts w:eastAsia="Calibri"/>
                <w:b/>
                <w:color w:val="0B2545"/>
                <w:sz w:val="19"/>
              </w:rPr>
              <w:t>Terme</w:t>
            </w:r>
          </w:p>
        </w:tc>
        <w:tc>
          <w:tcPr>
            <w:tcW w:w="7160" w:type="dxa"/>
            <w:shd w:val="clear" w:color="auto" w:fill="F4F6F9"/>
            <w:tcMar>
              <w:top w:w="80" w:type="dxa"/>
              <w:left w:w="120" w:type="dxa"/>
              <w:bottom w:w="80" w:type="dxa"/>
              <w:right w:w="120" w:type="dxa"/>
            </w:tcMar>
            <w:vAlign w:val="center"/>
          </w:tcPr>
          <w:p w14:paraId="09DA81E0" w14:textId="77777777" w:rsidR="00F86FAD" w:rsidRDefault="00000000">
            <w:pPr>
              <w:spacing w:after="0" w:line="283" w:lineRule="auto"/>
              <w:jc w:val="left"/>
            </w:pPr>
            <w:r>
              <w:rPr>
                <w:rFonts w:eastAsia="Calibri"/>
                <w:b/>
                <w:color w:val="0B2545"/>
                <w:sz w:val="19"/>
              </w:rPr>
              <w:t>Définition courte</w:t>
            </w:r>
          </w:p>
        </w:tc>
      </w:tr>
      <w:tr w:rsidR="00F86FAD" w:rsidRPr="00D72345" w14:paraId="16042CCA" w14:textId="77777777">
        <w:trPr>
          <w:cantSplit/>
        </w:trPr>
        <w:tc>
          <w:tcPr>
            <w:tcW w:w="2200" w:type="dxa"/>
            <w:tcMar>
              <w:top w:w="80" w:type="dxa"/>
              <w:left w:w="120" w:type="dxa"/>
              <w:bottom w:w="80" w:type="dxa"/>
              <w:right w:w="120" w:type="dxa"/>
            </w:tcMar>
            <w:vAlign w:val="center"/>
          </w:tcPr>
          <w:p w14:paraId="2733AA9C" w14:textId="77777777" w:rsidR="00F86FAD" w:rsidRDefault="00000000">
            <w:pPr>
              <w:spacing w:after="0" w:line="283" w:lineRule="auto"/>
              <w:jc w:val="left"/>
            </w:pPr>
            <w:r>
              <w:rPr>
                <w:rFonts w:eastAsia="Calibri"/>
                <w:sz w:val="19"/>
              </w:rPr>
              <w:t>Taux directeur</w:t>
            </w:r>
          </w:p>
        </w:tc>
        <w:tc>
          <w:tcPr>
            <w:tcW w:w="7160" w:type="dxa"/>
            <w:tcMar>
              <w:top w:w="80" w:type="dxa"/>
              <w:left w:w="120" w:type="dxa"/>
              <w:bottom w:w="80" w:type="dxa"/>
              <w:right w:w="120" w:type="dxa"/>
            </w:tcMar>
            <w:vAlign w:val="center"/>
          </w:tcPr>
          <w:p w14:paraId="0424E224" w14:textId="77777777" w:rsidR="00F86FAD" w:rsidRPr="00D72345" w:rsidRDefault="00000000">
            <w:pPr>
              <w:spacing w:after="0" w:line="283" w:lineRule="auto"/>
              <w:jc w:val="left"/>
              <w:rPr>
                <w:lang w:val="fr-FR"/>
              </w:rPr>
            </w:pPr>
            <w:r w:rsidRPr="00D72345">
              <w:rPr>
                <w:rFonts w:eastAsia="Calibri"/>
                <w:sz w:val="19"/>
                <w:lang w:val="fr-FR"/>
              </w:rPr>
              <w:t>Taux ou ensemble de taux utilisés pour guider les conditions monétaires à court terme.</w:t>
            </w:r>
          </w:p>
        </w:tc>
      </w:tr>
      <w:tr w:rsidR="00F86FAD" w:rsidRPr="00D72345" w14:paraId="60D708C2" w14:textId="77777777">
        <w:trPr>
          <w:cantSplit/>
        </w:trPr>
        <w:tc>
          <w:tcPr>
            <w:tcW w:w="2200" w:type="dxa"/>
            <w:shd w:val="clear" w:color="auto" w:fill="FAFBFC"/>
            <w:tcMar>
              <w:top w:w="80" w:type="dxa"/>
              <w:left w:w="120" w:type="dxa"/>
              <w:bottom w:w="80" w:type="dxa"/>
              <w:right w:w="120" w:type="dxa"/>
            </w:tcMar>
            <w:vAlign w:val="center"/>
          </w:tcPr>
          <w:p w14:paraId="3936ED37" w14:textId="77777777" w:rsidR="00F86FAD" w:rsidRDefault="00000000">
            <w:pPr>
              <w:spacing w:after="0" w:line="283" w:lineRule="auto"/>
              <w:jc w:val="left"/>
            </w:pPr>
            <w:r>
              <w:rPr>
                <w:rFonts w:eastAsia="Calibri"/>
                <w:sz w:val="19"/>
              </w:rPr>
              <w:t>Réserves</w:t>
            </w:r>
          </w:p>
        </w:tc>
        <w:tc>
          <w:tcPr>
            <w:tcW w:w="7160" w:type="dxa"/>
            <w:shd w:val="clear" w:color="auto" w:fill="FAFBFC"/>
            <w:tcMar>
              <w:top w:w="80" w:type="dxa"/>
              <w:left w:w="120" w:type="dxa"/>
              <w:bottom w:w="80" w:type="dxa"/>
              <w:right w:w="120" w:type="dxa"/>
            </w:tcMar>
            <w:vAlign w:val="center"/>
          </w:tcPr>
          <w:p w14:paraId="0B373ACA" w14:textId="77777777" w:rsidR="00F86FAD" w:rsidRPr="00D72345" w:rsidRDefault="00000000">
            <w:pPr>
              <w:spacing w:after="0" w:line="283" w:lineRule="auto"/>
              <w:jc w:val="left"/>
              <w:rPr>
                <w:lang w:val="fr-FR"/>
              </w:rPr>
            </w:pPr>
            <w:r w:rsidRPr="00D72345">
              <w:rPr>
                <w:rFonts w:eastAsia="Calibri"/>
                <w:sz w:val="19"/>
                <w:lang w:val="fr-FR"/>
              </w:rPr>
              <w:t>Dépôts des banques auprès de la banque centrale, utilisés notamment pour les règlements.</w:t>
            </w:r>
          </w:p>
        </w:tc>
      </w:tr>
      <w:tr w:rsidR="00F86FAD" w:rsidRPr="00D72345" w14:paraId="21D78C39" w14:textId="77777777">
        <w:trPr>
          <w:cantSplit/>
        </w:trPr>
        <w:tc>
          <w:tcPr>
            <w:tcW w:w="2200" w:type="dxa"/>
            <w:tcMar>
              <w:top w:w="80" w:type="dxa"/>
              <w:left w:w="120" w:type="dxa"/>
              <w:bottom w:w="80" w:type="dxa"/>
              <w:right w:w="120" w:type="dxa"/>
            </w:tcMar>
            <w:vAlign w:val="center"/>
          </w:tcPr>
          <w:p w14:paraId="3477EF37" w14:textId="77777777" w:rsidR="00F86FAD" w:rsidRDefault="00000000">
            <w:pPr>
              <w:spacing w:after="0" w:line="283" w:lineRule="auto"/>
              <w:jc w:val="left"/>
            </w:pPr>
            <w:r>
              <w:rPr>
                <w:rFonts w:eastAsia="Calibri"/>
                <w:sz w:val="19"/>
              </w:rPr>
              <w:t>Rendement</w:t>
            </w:r>
          </w:p>
        </w:tc>
        <w:tc>
          <w:tcPr>
            <w:tcW w:w="7160" w:type="dxa"/>
            <w:tcMar>
              <w:top w:w="80" w:type="dxa"/>
              <w:left w:w="120" w:type="dxa"/>
              <w:bottom w:w="80" w:type="dxa"/>
              <w:right w:w="120" w:type="dxa"/>
            </w:tcMar>
            <w:vAlign w:val="center"/>
          </w:tcPr>
          <w:p w14:paraId="7820EAAB" w14:textId="77777777" w:rsidR="00F86FAD" w:rsidRPr="00D72345" w:rsidRDefault="00000000">
            <w:pPr>
              <w:spacing w:after="0" w:line="283" w:lineRule="auto"/>
              <w:jc w:val="left"/>
              <w:rPr>
                <w:lang w:val="fr-FR"/>
              </w:rPr>
            </w:pPr>
            <w:r w:rsidRPr="00D72345">
              <w:rPr>
                <w:rFonts w:eastAsia="Calibri"/>
                <w:sz w:val="19"/>
                <w:lang w:val="fr-FR"/>
              </w:rPr>
              <w:t>Rémunération obtenue par rapport au prix d'une obligation.</w:t>
            </w:r>
          </w:p>
        </w:tc>
      </w:tr>
      <w:tr w:rsidR="00F86FAD" w:rsidRPr="00D72345" w14:paraId="57ACD367" w14:textId="77777777">
        <w:trPr>
          <w:cantSplit/>
        </w:trPr>
        <w:tc>
          <w:tcPr>
            <w:tcW w:w="2200" w:type="dxa"/>
            <w:shd w:val="clear" w:color="auto" w:fill="FAFBFC"/>
            <w:tcMar>
              <w:top w:w="80" w:type="dxa"/>
              <w:left w:w="120" w:type="dxa"/>
              <w:bottom w:w="80" w:type="dxa"/>
              <w:right w:w="120" w:type="dxa"/>
            </w:tcMar>
            <w:vAlign w:val="center"/>
          </w:tcPr>
          <w:p w14:paraId="652B21F9" w14:textId="77777777" w:rsidR="00F86FAD" w:rsidRDefault="00000000">
            <w:pPr>
              <w:spacing w:after="0" w:line="283" w:lineRule="auto"/>
              <w:jc w:val="left"/>
            </w:pPr>
            <w:r>
              <w:rPr>
                <w:rFonts w:eastAsia="Calibri"/>
                <w:sz w:val="19"/>
              </w:rPr>
              <w:t>Hawkish</w:t>
            </w:r>
          </w:p>
        </w:tc>
        <w:tc>
          <w:tcPr>
            <w:tcW w:w="7160" w:type="dxa"/>
            <w:shd w:val="clear" w:color="auto" w:fill="FAFBFC"/>
            <w:tcMar>
              <w:top w:w="80" w:type="dxa"/>
              <w:left w:w="120" w:type="dxa"/>
              <w:bottom w:w="80" w:type="dxa"/>
              <w:right w:w="120" w:type="dxa"/>
            </w:tcMar>
            <w:vAlign w:val="center"/>
          </w:tcPr>
          <w:p w14:paraId="42C3414C" w14:textId="77777777" w:rsidR="00F86FAD" w:rsidRPr="00D72345" w:rsidRDefault="00000000">
            <w:pPr>
              <w:spacing w:after="0" w:line="283" w:lineRule="auto"/>
              <w:jc w:val="left"/>
              <w:rPr>
                <w:lang w:val="fr-FR"/>
              </w:rPr>
            </w:pPr>
            <w:r w:rsidRPr="00D72345">
              <w:rPr>
                <w:rFonts w:eastAsia="Calibri"/>
                <w:sz w:val="19"/>
                <w:lang w:val="fr-FR"/>
              </w:rPr>
              <w:t>Message ou décision plus orienté vers la lutte contre l'inflation.</w:t>
            </w:r>
          </w:p>
        </w:tc>
      </w:tr>
      <w:tr w:rsidR="00F86FAD" w:rsidRPr="00D72345" w14:paraId="51FAE4C9" w14:textId="77777777">
        <w:trPr>
          <w:cantSplit/>
        </w:trPr>
        <w:tc>
          <w:tcPr>
            <w:tcW w:w="2200" w:type="dxa"/>
            <w:tcMar>
              <w:top w:w="80" w:type="dxa"/>
              <w:left w:w="120" w:type="dxa"/>
              <w:bottom w:w="80" w:type="dxa"/>
              <w:right w:w="120" w:type="dxa"/>
            </w:tcMar>
            <w:vAlign w:val="center"/>
          </w:tcPr>
          <w:p w14:paraId="1C370B9C" w14:textId="77777777" w:rsidR="00F86FAD" w:rsidRDefault="00000000">
            <w:pPr>
              <w:spacing w:after="0" w:line="283" w:lineRule="auto"/>
              <w:jc w:val="left"/>
            </w:pPr>
            <w:r>
              <w:rPr>
                <w:rFonts w:eastAsia="Calibri"/>
                <w:sz w:val="19"/>
              </w:rPr>
              <w:t>Dovish</w:t>
            </w:r>
          </w:p>
        </w:tc>
        <w:tc>
          <w:tcPr>
            <w:tcW w:w="7160" w:type="dxa"/>
            <w:tcMar>
              <w:top w:w="80" w:type="dxa"/>
              <w:left w:w="120" w:type="dxa"/>
              <w:bottom w:w="80" w:type="dxa"/>
              <w:right w:w="120" w:type="dxa"/>
            </w:tcMar>
            <w:vAlign w:val="center"/>
          </w:tcPr>
          <w:p w14:paraId="06C51673" w14:textId="77777777" w:rsidR="00F86FAD" w:rsidRPr="00D72345" w:rsidRDefault="00000000">
            <w:pPr>
              <w:spacing w:after="0" w:line="283" w:lineRule="auto"/>
              <w:jc w:val="left"/>
              <w:rPr>
                <w:lang w:val="fr-FR"/>
              </w:rPr>
            </w:pPr>
            <w:r w:rsidRPr="00D72345">
              <w:rPr>
                <w:rFonts w:eastAsia="Calibri"/>
                <w:sz w:val="19"/>
                <w:lang w:val="fr-FR"/>
              </w:rPr>
              <w:t>Message ou décision plus orienté vers le soutien de l'activité et de l'emploi.</w:t>
            </w:r>
          </w:p>
        </w:tc>
      </w:tr>
      <w:tr w:rsidR="00F86FAD" w:rsidRPr="00D72345" w14:paraId="1D523EF6" w14:textId="77777777">
        <w:trPr>
          <w:cantSplit/>
        </w:trPr>
        <w:tc>
          <w:tcPr>
            <w:tcW w:w="2200" w:type="dxa"/>
            <w:shd w:val="clear" w:color="auto" w:fill="FAFBFC"/>
            <w:tcMar>
              <w:top w:w="80" w:type="dxa"/>
              <w:left w:w="120" w:type="dxa"/>
              <w:bottom w:w="80" w:type="dxa"/>
              <w:right w:w="120" w:type="dxa"/>
            </w:tcMar>
            <w:vAlign w:val="center"/>
          </w:tcPr>
          <w:p w14:paraId="2127D6E7" w14:textId="77777777" w:rsidR="00F86FAD" w:rsidRDefault="00000000">
            <w:pPr>
              <w:spacing w:after="0" w:line="283" w:lineRule="auto"/>
              <w:jc w:val="left"/>
            </w:pPr>
            <w:r>
              <w:rPr>
                <w:rFonts w:eastAsia="Calibri"/>
                <w:sz w:val="19"/>
              </w:rPr>
              <w:t>QE</w:t>
            </w:r>
          </w:p>
        </w:tc>
        <w:tc>
          <w:tcPr>
            <w:tcW w:w="7160" w:type="dxa"/>
            <w:shd w:val="clear" w:color="auto" w:fill="FAFBFC"/>
            <w:tcMar>
              <w:top w:w="80" w:type="dxa"/>
              <w:left w:w="120" w:type="dxa"/>
              <w:bottom w:w="80" w:type="dxa"/>
              <w:right w:w="120" w:type="dxa"/>
            </w:tcMar>
            <w:vAlign w:val="center"/>
          </w:tcPr>
          <w:p w14:paraId="106C1444" w14:textId="77777777" w:rsidR="00F86FAD" w:rsidRPr="00D72345" w:rsidRDefault="00000000">
            <w:pPr>
              <w:spacing w:after="0" w:line="283" w:lineRule="auto"/>
              <w:jc w:val="left"/>
              <w:rPr>
                <w:lang w:val="fr-FR"/>
              </w:rPr>
            </w:pPr>
            <w:r w:rsidRPr="00D72345">
              <w:rPr>
                <w:rFonts w:eastAsia="Calibri"/>
                <w:sz w:val="19"/>
                <w:lang w:val="fr-FR"/>
              </w:rPr>
              <w:t>Achats d'actifs destinés à assouplir les conditions financières.</w:t>
            </w:r>
          </w:p>
        </w:tc>
      </w:tr>
      <w:tr w:rsidR="00F86FAD" w:rsidRPr="00D72345" w14:paraId="48B53237" w14:textId="77777777">
        <w:trPr>
          <w:cantSplit/>
        </w:trPr>
        <w:tc>
          <w:tcPr>
            <w:tcW w:w="2200" w:type="dxa"/>
            <w:tcMar>
              <w:top w:w="80" w:type="dxa"/>
              <w:left w:w="120" w:type="dxa"/>
              <w:bottom w:w="80" w:type="dxa"/>
              <w:right w:w="120" w:type="dxa"/>
            </w:tcMar>
            <w:vAlign w:val="center"/>
          </w:tcPr>
          <w:p w14:paraId="77461711" w14:textId="77777777" w:rsidR="00F86FAD" w:rsidRDefault="00000000">
            <w:pPr>
              <w:spacing w:after="0" w:line="283" w:lineRule="auto"/>
              <w:jc w:val="left"/>
            </w:pPr>
            <w:r>
              <w:rPr>
                <w:rFonts w:eastAsia="Calibri"/>
                <w:sz w:val="19"/>
              </w:rPr>
              <w:t>QT</w:t>
            </w:r>
          </w:p>
        </w:tc>
        <w:tc>
          <w:tcPr>
            <w:tcW w:w="7160" w:type="dxa"/>
            <w:tcMar>
              <w:top w:w="80" w:type="dxa"/>
              <w:left w:w="120" w:type="dxa"/>
              <w:bottom w:w="80" w:type="dxa"/>
              <w:right w:w="120" w:type="dxa"/>
            </w:tcMar>
            <w:vAlign w:val="center"/>
          </w:tcPr>
          <w:p w14:paraId="56EFCDC0" w14:textId="77777777" w:rsidR="00F86FAD" w:rsidRPr="00D72345" w:rsidRDefault="00000000">
            <w:pPr>
              <w:spacing w:after="0" w:line="283" w:lineRule="auto"/>
              <w:jc w:val="left"/>
              <w:rPr>
                <w:lang w:val="fr-FR"/>
              </w:rPr>
            </w:pPr>
            <w:r w:rsidRPr="00D72345">
              <w:rPr>
                <w:rFonts w:eastAsia="Calibri"/>
                <w:sz w:val="19"/>
                <w:lang w:val="fr-FR"/>
              </w:rPr>
              <w:t>Réduction progressive du bilan de la banque centrale.</w:t>
            </w:r>
          </w:p>
        </w:tc>
      </w:tr>
      <w:tr w:rsidR="00F86FAD" w:rsidRPr="00D72345" w14:paraId="7D54D3E4" w14:textId="77777777">
        <w:trPr>
          <w:cantSplit/>
        </w:trPr>
        <w:tc>
          <w:tcPr>
            <w:tcW w:w="2200" w:type="dxa"/>
            <w:shd w:val="clear" w:color="auto" w:fill="FAFBFC"/>
            <w:tcMar>
              <w:top w:w="80" w:type="dxa"/>
              <w:left w:w="120" w:type="dxa"/>
              <w:bottom w:w="80" w:type="dxa"/>
              <w:right w:w="120" w:type="dxa"/>
            </w:tcMar>
            <w:vAlign w:val="center"/>
          </w:tcPr>
          <w:p w14:paraId="6A543E4C" w14:textId="77777777" w:rsidR="00F86FAD" w:rsidRDefault="00000000">
            <w:pPr>
              <w:spacing w:after="0" w:line="283" w:lineRule="auto"/>
              <w:jc w:val="left"/>
            </w:pPr>
            <w:r>
              <w:rPr>
                <w:rFonts w:eastAsia="Calibri"/>
                <w:sz w:val="19"/>
              </w:rPr>
              <w:t>Forward guidance</w:t>
            </w:r>
          </w:p>
        </w:tc>
        <w:tc>
          <w:tcPr>
            <w:tcW w:w="7160" w:type="dxa"/>
            <w:shd w:val="clear" w:color="auto" w:fill="FAFBFC"/>
            <w:tcMar>
              <w:top w:w="80" w:type="dxa"/>
              <w:left w:w="120" w:type="dxa"/>
              <w:bottom w:w="80" w:type="dxa"/>
              <w:right w:w="120" w:type="dxa"/>
            </w:tcMar>
            <w:vAlign w:val="center"/>
          </w:tcPr>
          <w:p w14:paraId="3CE6CD0A" w14:textId="77777777" w:rsidR="00F86FAD" w:rsidRPr="00D72345" w:rsidRDefault="00000000">
            <w:pPr>
              <w:spacing w:after="0" w:line="283" w:lineRule="auto"/>
              <w:jc w:val="left"/>
              <w:rPr>
                <w:lang w:val="fr-FR"/>
              </w:rPr>
            </w:pPr>
            <w:r w:rsidRPr="00D72345">
              <w:rPr>
                <w:rFonts w:eastAsia="Calibri"/>
                <w:sz w:val="19"/>
                <w:lang w:val="fr-FR"/>
              </w:rPr>
              <w:t>Indications sur la trajectoire future de la politique monétaire.</w:t>
            </w:r>
          </w:p>
        </w:tc>
      </w:tr>
      <w:tr w:rsidR="00F86FAD" w:rsidRPr="00D72345" w14:paraId="71ABB3AF" w14:textId="77777777">
        <w:trPr>
          <w:cantSplit/>
        </w:trPr>
        <w:tc>
          <w:tcPr>
            <w:tcW w:w="2200" w:type="dxa"/>
            <w:tcMar>
              <w:top w:w="80" w:type="dxa"/>
              <w:left w:w="120" w:type="dxa"/>
              <w:bottom w:w="80" w:type="dxa"/>
              <w:right w:w="120" w:type="dxa"/>
            </w:tcMar>
            <w:vAlign w:val="center"/>
          </w:tcPr>
          <w:p w14:paraId="3A51DB2C" w14:textId="77777777" w:rsidR="00F86FAD" w:rsidRDefault="00000000">
            <w:pPr>
              <w:spacing w:after="0" w:line="283" w:lineRule="auto"/>
              <w:jc w:val="left"/>
            </w:pPr>
            <w:r>
              <w:rPr>
                <w:rFonts w:eastAsia="Calibri"/>
                <w:sz w:val="19"/>
              </w:rPr>
              <w:t>YCC</w:t>
            </w:r>
          </w:p>
        </w:tc>
        <w:tc>
          <w:tcPr>
            <w:tcW w:w="7160" w:type="dxa"/>
            <w:tcMar>
              <w:top w:w="80" w:type="dxa"/>
              <w:left w:w="120" w:type="dxa"/>
              <w:bottom w:w="80" w:type="dxa"/>
              <w:right w:w="120" w:type="dxa"/>
            </w:tcMar>
            <w:vAlign w:val="center"/>
          </w:tcPr>
          <w:p w14:paraId="7151FEDF" w14:textId="77777777" w:rsidR="00F86FAD" w:rsidRPr="00D72345" w:rsidRDefault="00000000">
            <w:pPr>
              <w:spacing w:after="0" w:line="283" w:lineRule="auto"/>
              <w:jc w:val="left"/>
              <w:rPr>
                <w:lang w:val="fr-FR"/>
              </w:rPr>
            </w:pPr>
            <w:r w:rsidRPr="00D72345">
              <w:rPr>
                <w:rFonts w:eastAsia="Calibri"/>
                <w:sz w:val="19"/>
                <w:lang w:val="fr-FR"/>
              </w:rPr>
              <w:t>Politique visant un rendement ou une bande sur une maturité déterminée.</w:t>
            </w:r>
          </w:p>
        </w:tc>
      </w:tr>
      <w:tr w:rsidR="00F86FAD" w:rsidRPr="00D72345" w14:paraId="4228E03D" w14:textId="77777777">
        <w:trPr>
          <w:cantSplit/>
        </w:trPr>
        <w:tc>
          <w:tcPr>
            <w:tcW w:w="2200" w:type="dxa"/>
            <w:shd w:val="clear" w:color="auto" w:fill="FAFBFC"/>
            <w:tcMar>
              <w:top w:w="80" w:type="dxa"/>
              <w:left w:w="120" w:type="dxa"/>
              <w:bottom w:w="80" w:type="dxa"/>
              <w:right w:w="120" w:type="dxa"/>
            </w:tcMar>
            <w:vAlign w:val="center"/>
          </w:tcPr>
          <w:p w14:paraId="63193862" w14:textId="77777777" w:rsidR="00F86FAD" w:rsidRDefault="00000000">
            <w:pPr>
              <w:spacing w:after="0" w:line="283" w:lineRule="auto"/>
              <w:jc w:val="left"/>
            </w:pPr>
            <w:r>
              <w:rPr>
                <w:rFonts w:eastAsia="Calibri"/>
                <w:sz w:val="19"/>
              </w:rPr>
              <w:t>Prime de terme</w:t>
            </w:r>
          </w:p>
        </w:tc>
        <w:tc>
          <w:tcPr>
            <w:tcW w:w="7160" w:type="dxa"/>
            <w:shd w:val="clear" w:color="auto" w:fill="FAFBFC"/>
            <w:tcMar>
              <w:top w:w="80" w:type="dxa"/>
              <w:left w:w="120" w:type="dxa"/>
              <w:bottom w:w="80" w:type="dxa"/>
              <w:right w:w="120" w:type="dxa"/>
            </w:tcMar>
            <w:vAlign w:val="center"/>
          </w:tcPr>
          <w:p w14:paraId="5994F286" w14:textId="77777777" w:rsidR="00F86FAD" w:rsidRPr="00D72345" w:rsidRDefault="00000000">
            <w:pPr>
              <w:spacing w:after="0" w:line="283" w:lineRule="auto"/>
              <w:jc w:val="left"/>
              <w:rPr>
                <w:lang w:val="fr-FR"/>
              </w:rPr>
            </w:pPr>
            <w:r w:rsidRPr="00D72345">
              <w:rPr>
                <w:rFonts w:eastAsia="Calibri"/>
                <w:sz w:val="19"/>
                <w:lang w:val="fr-FR"/>
              </w:rPr>
              <w:t>Compensation demandée pour détenir une obligation longue plutôt que renouveler des placements courts.</w:t>
            </w:r>
          </w:p>
        </w:tc>
      </w:tr>
      <w:tr w:rsidR="00F86FAD" w:rsidRPr="00D72345" w14:paraId="0F74A316" w14:textId="77777777">
        <w:trPr>
          <w:cantSplit/>
        </w:trPr>
        <w:tc>
          <w:tcPr>
            <w:tcW w:w="2200" w:type="dxa"/>
            <w:tcMar>
              <w:top w:w="80" w:type="dxa"/>
              <w:left w:w="120" w:type="dxa"/>
              <w:bottom w:w="80" w:type="dxa"/>
              <w:right w:w="120" w:type="dxa"/>
            </w:tcMar>
            <w:vAlign w:val="center"/>
          </w:tcPr>
          <w:p w14:paraId="352F4AAB" w14:textId="77777777" w:rsidR="00F86FAD" w:rsidRDefault="00000000">
            <w:pPr>
              <w:spacing w:after="0" w:line="283" w:lineRule="auto"/>
              <w:jc w:val="left"/>
            </w:pPr>
            <w:r>
              <w:rPr>
                <w:rFonts w:eastAsia="Calibri"/>
                <w:sz w:val="19"/>
              </w:rPr>
              <w:t>Carry trade</w:t>
            </w:r>
          </w:p>
        </w:tc>
        <w:tc>
          <w:tcPr>
            <w:tcW w:w="7160" w:type="dxa"/>
            <w:tcMar>
              <w:top w:w="80" w:type="dxa"/>
              <w:left w:w="120" w:type="dxa"/>
              <w:bottom w:w="80" w:type="dxa"/>
              <w:right w:w="120" w:type="dxa"/>
            </w:tcMar>
            <w:vAlign w:val="center"/>
          </w:tcPr>
          <w:p w14:paraId="72505909" w14:textId="77777777" w:rsidR="00F86FAD" w:rsidRPr="00D72345" w:rsidRDefault="00000000">
            <w:pPr>
              <w:spacing w:after="0" w:line="283" w:lineRule="auto"/>
              <w:jc w:val="left"/>
              <w:rPr>
                <w:lang w:val="fr-FR"/>
              </w:rPr>
            </w:pPr>
            <w:r w:rsidRPr="00D72345">
              <w:rPr>
                <w:rFonts w:eastAsia="Calibri"/>
                <w:sz w:val="19"/>
                <w:lang w:val="fr-FR"/>
              </w:rPr>
              <w:t>Financement dans une monnaie à faible rendement pour investir dans une monnaie ou un actif plus rémunérateur.</w:t>
            </w:r>
          </w:p>
        </w:tc>
      </w:tr>
      <w:tr w:rsidR="00F86FAD" w:rsidRPr="00D72345" w14:paraId="3E74F709" w14:textId="77777777">
        <w:trPr>
          <w:cantSplit/>
        </w:trPr>
        <w:tc>
          <w:tcPr>
            <w:tcW w:w="2200" w:type="dxa"/>
            <w:shd w:val="clear" w:color="auto" w:fill="FAFBFC"/>
            <w:tcMar>
              <w:top w:w="80" w:type="dxa"/>
              <w:left w:w="120" w:type="dxa"/>
              <w:bottom w:w="80" w:type="dxa"/>
              <w:right w:w="120" w:type="dxa"/>
            </w:tcMar>
            <w:vAlign w:val="center"/>
          </w:tcPr>
          <w:p w14:paraId="08A13D5D" w14:textId="77777777" w:rsidR="00F86FAD" w:rsidRDefault="00000000">
            <w:pPr>
              <w:spacing w:after="0" w:line="283" w:lineRule="auto"/>
              <w:jc w:val="left"/>
            </w:pPr>
            <w:r>
              <w:rPr>
                <w:rFonts w:eastAsia="Calibri"/>
                <w:sz w:val="19"/>
              </w:rPr>
              <w:t>Pivot</w:t>
            </w:r>
          </w:p>
        </w:tc>
        <w:tc>
          <w:tcPr>
            <w:tcW w:w="7160" w:type="dxa"/>
            <w:shd w:val="clear" w:color="auto" w:fill="FAFBFC"/>
            <w:tcMar>
              <w:top w:w="80" w:type="dxa"/>
              <w:left w:w="120" w:type="dxa"/>
              <w:bottom w:w="80" w:type="dxa"/>
              <w:right w:w="120" w:type="dxa"/>
            </w:tcMar>
            <w:vAlign w:val="center"/>
          </w:tcPr>
          <w:p w14:paraId="2CBBDF5E" w14:textId="77777777" w:rsidR="00F86FAD" w:rsidRPr="00D72345" w:rsidRDefault="00000000">
            <w:pPr>
              <w:spacing w:after="0" w:line="283" w:lineRule="auto"/>
              <w:jc w:val="left"/>
              <w:rPr>
                <w:lang w:val="fr-FR"/>
              </w:rPr>
            </w:pPr>
            <w:r w:rsidRPr="00D72345">
              <w:rPr>
                <w:rFonts w:eastAsia="Calibri"/>
                <w:sz w:val="19"/>
                <w:lang w:val="fr-FR"/>
              </w:rPr>
              <w:t>Passage anticipé d'un resserrement vers une pause puis un assouplissement.</w:t>
            </w:r>
          </w:p>
        </w:tc>
      </w:tr>
    </w:tbl>
    <w:p w14:paraId="2835DE9A" w14:textId="77777777" w:rsidR="00F86FAD" w:rsidRPr="00D72345" w:rsidRDefault="00F86FAD">
      <w:pPr>
        <w:spacing w:after="100"/>
        <w:rPr>
          <w:lang w:val="fr-FR"/>
        </w:rPr>
      </w:pPr>
    </w:p>
    <w:p w14:paraId="35A9749D" w14:textId="77777777" w:rsidR="00F86FAD" w:rsidRPr="00D72345" w:rsidRDefault="00000000">
      <w:pPr>
        <w:pStyle w:val="Titre1"/>
        <w:rPr>
          <w:lang w:val="fr-FR"/>
        </w:rPr>
      </w:pPr>
      <w:r w:rsidRPr="00D72345">
        <w:rPr>
          <w:lang w:val="fr-FR"/>
        </w:rPr>
        <w:t>Conclusion générale</w:t>
      </w:r>
    </w:p>
    <w:p w14:paraId="40EB8D7E" w14:textId="77777777" w:rsidR="00F86FAD" w:rsidRPr="00D72345" w:rsidRDefault="00000000">
      <w:pPr>
        <w:rPr>
          <w:lang w:val="fr-FR"/>
        </w:rPr>
      </w:pPr>
      <w:r w:rsidRPr="00D72345">
        <w:rPr>
          <w:rFonts w:eastAsia="Calibri"/>
          <w:lang w:val="fr-FR"/>
        </w:rPr>
        <w:t>Une banque centrale influence l'économie en modifiant les conditions auxquelles la monnaie, le crédit et le risque sont échangés. Son action part des taux courts et de son bilan, traverse les obligations, les banques, le change et les prix d'actifs, puis atteint progressivement la consommation, l'investissement, l'emploi et l'inflation.</w:t>
      </w:r>
    </w:p>
    <w:p w14:paraId="279FE82D" w14:textId="77777777" w:rsidR="00F86FAD" w:rsidRPr="00D72345" w:rsidRDefault="00000000">
      <w:pPr>
        <w:rPr>
          <w:lang w:val="fr-FR"/>
        </w:rPr>
      </w:pPr>
      <w:r w:rsidRPr="00D72345">
        <w:rPr>
          <w:rFonts w:eastAsia="Calibri"/>
          <w:lang w:val="fr-FR"/>
        </w:rPr>
        <w:t>Pour le trader ou l'investisseur, la compétence essentielle n'est pas de deviner chaque décision. Elle consiste à reconstruire la chaîne : mandat, données, attentes, décision, communication, taux de marché, actifs, puis économie réelle. Les deux cas étudiés le montrent : un discours de la Fed peut faire chuter les actions sans hausse immédiate, et une modification technique de la BoJ peut renforcer brutalement le yen.</w:t>
      </w:r>
    </w:p>
    <w:p w14:paraId="3C9AD22D" w14:textId="77777777" w:rsidR="00F86FAD" w:rsidRPr="00D72345" w:rsidRDefault="00000000">
      <w:pPr>
        <w:keepLines/>
        <w:pBdr>
          <w:left w:val="single" w:sz="18" w:space="8" w:color="207A4B"/>
        </w:pBdr>
        <w:shd w:val="clear" w:color="auto" w:fill="EAF6EF"/>
        <w:spacing w:before="100" w:after="200" w:line="288" w:lineRule="auto"/>
        <w:ind w:left="173" w:right="115"/>
        <w:rPr>
          <w:lang w:val="fr-FR"/>
        </w:rPr>
      </w:pPr>
      <w:proofErr w:type="gramStart"/>
      <w:proofErr w:type="gramEnd"/>
      <w:r>
        <w:rPr>
          <w:rFonts w:eastAsia="Calibri"/>
          <w:b/>
          <w:color w:val="207A4B"/>
          <w:sz w:val="20"/>
          <w:lang w:val="fr-FR"/>
        </w:rPr>
        <w:t xml:space="preserve">PASSAGE À LA PARTIE 2  </w:t>
      </w:r>
      <w:r>
        <w:rPr>
          <w:rFonts w:eastAsia="Calibri"/>
          <w:sz w:val="21"/>
          <w:lang w:val="fr-FR"/>
        </w:rPr>
        <w:t>Tu connais maintenant le mandat, les outils et les canaux de transmission des banques centrales. La Partie 2 ne répétera pas ces mécanismes : elle montrera comment chaque publication d'inflation, d'emploi, de croissance ou de consommation peut modifier les anticipations de politique monétaire et les scénarios de marché.</w:t>
      </w:r>
    </w:p>
    <w:p w14:paraId="1A7DDB4C" w14:textId="77777777" w:rsidR="00F86FAD" w:rsidRPr="00D72345" w:rsidRDefault="00000000">
      <w:pPr>
        <w:keepLines/>
        <w:pBdr>
          <w:left w:val="single" w:sz="18" w:space="8" w:color="8A6400"/>
        </w:pBdr>
        <w:shd w:val="clear" w:color="auto" w:fill="FFF7DD"/>
        <w:spacing w:before="100" w:after="200" w:line="288" w:lineRule="auto"/>
        <w:ind w:left="173" w:right="115"/>
        <w:rPr>
          <w:lang w:val="fr-FR"/>
        </w:rPr>
      </w:pPr>
      <w:r w:rsidRPr="00D72345">
        <w:rPr>
          <w:rFonts w:eastAsia="Calibri"/>
          <w:b/>
          <w:color w:val="8A6400"/>
          <w:sz w:val="20"/>
          <w:lang w:val="fr-FR"/>
        </w:rPr>
        <w:t xml:space="preserve">LA RÈGLE </w:t>
      </w:r>
      <w:proofErr w:type="gramStart"/>
      <w:r w:rsidRPr="00D72345">
        <w:rPr>
          <w:rFonts w:eastAsia="Calibri"/>
          <w:b/>
          <w:color w:val="8A6400"/>
          <w:sz w:val="20"/>
          <w:lang w:val="fr-FR"/>
        </w:rPr>
        <w:t xml:space="preserve">FINALE  </w:t>
      </w:r>
      <w:r w:rsidRPr="00D72345">
        <w:rPr>
          <w:rFonts w:eastAsia="Calibri"/>
          <w:sz w:val="21"/>
          <w:lang w:val="fr-FR"/>
        </w:rPr>
        <w:t>Ne</w:t>
      </w:r>
      <w:proofErr w:type="gramEnd"/>
      <w:r w:rsidRPr="00D72345">
        <w:rPr>
          <w:rFonts w:eastAsia="Calibri"/>
          <w:sz w:val="21"/>
          <w:lang w:val="fr-FR"/>
        </w:rPr>
        <w:t xml:space="preserve"> trade pas le mot « hausse » ou « baisse ». Trade seulement un scénario compris, comparé aux attentes, confirmé par le marché et limité par un risque défini.</w:t>
      </w:r>
    </w:p>
    <w:p w14:paraId="6952A901" w14:textId="77777777" w:rsidR="00F86FAD" w:rsidRDefault="00000000">
      <w:pPr>
        <w:pStyle w:val="Titre2"/>
      </w:pPr>
      <w:r>
        <w:t>Références institutionnelles et de marché</w:t>
      </w:r>
    </w:p>
    <w:tbl>
      <w:tblPr>
        <w:tblStyle w:val="Grilledutableau"/>
        <w:tblW w:w="9360" w:type="dxa"/>
        <w:tblInd w:w="120" w:type="dxa"/>
        <w:tblBorders>
          <w:top w:val="single" w:sz="6" w:space="0" w:color="D4DCE6"/>
          <w:left w:val="single" w:sz="6" w:space="0" w:color="D4DCE6"/>
          <w:bottom w:val="single" w:sz="6" w:space="0" w:color="D4DCE6"/>
          <w:right w:val="single" w:sz="6" w:space="0" w:color="D4DCE6"/>
          <w:insideH w:val="single" w:sz="6" w:space="0" w:color="D4DCE6"/>
          <w:insideV w:val="single" w:sz="6" w:space="0" w:color="D4DCE6"/>
        </w:tblBorders>
        <w:tblLayout w:type="fixed"/>
        <w:tblLook w:val="04A0" w:firstRow="1" w:lastRow="0" w:firstColumn="1" w:lastColumn="0" w:noHBand="0" w:noVBand="1"/>
      </w:tblPr>
      <w:tblGrid>
        <w:gridCol w:w="4680"/>
        <w:gridCol w:w="4680"/>
      </w:tblGrid>
      <w:tr w:rsidR="00F86FAD" w14:paraId="634DE1F0" w14:textId="77777777">
        <w:trPr>
          <w:cantSplit/>
          <w:tblHeader/>
        </w:trPr>
        <w:tc>
          <w:tcPr>
            <w:tcW w:w="4680" w:type="dxa"/>
            <w:shd w:val="clear" w:color="auto" w:fill="F4F6F9"/>
            <w:tcMar>
              <w:top w:w="80" w:type="dxa"/>
              <w:left w:w="120" w:type="dxa"/>
              <w:bottom w:w="80" w:type="dxa"/>
              <w:right w:w="120" w:type="dxa"/>
            </w:tcMar>
            <w:vAlign w:val="center"/>
          </w:tcPr>
          <w:p w14:paraId="232A869F" w14:textId="77777777" w:rsidR="00F86FAD" w:rsidRDefault="00000000">
            <w:pPr>
              <w:spacing w:after="0" w:line="283" w:lineRule="auto"/>
              <w:jc w:val="left"/>
            </w:pPr>
            <w:r>
              <w:rPr>
                <w:rFonts w:eastAsia="Calibri"/>
                <w:b/>
                <w:color w:val="0B2545"/>
                <w:sz w:val="19"/>
              </w:rPr>
              <w:t>Institutions et politique</w:t>
            </w:r>
          </w:p>
        </w:tc>
        <w:tc>
          <w:tcPr>
            <w:tcW w:w="4680" w:type="dxa"/>
            <w:shd w:val="clear" w:color="auto" w:fill="F4F6F9"/>
            <w:tcMar>
              <w:top w:w="80" w:type="dxa"/>
              <w:left w:w="120" w:type="dxa"/>
              <w:bottom w:w="80" w:type="dxa"/>
              <w:right w:w="120" w:type="dxa"/>
            </w:tcMar>
            <w:vAlign w:val="center"/>
          </w:tcPr>
          <w:p w14:paraId="317B53E2" w14:textId="77777777" w:rsidR="00F86FAD" w:rsidRDefault="00000000">
            <w:pPr>
              <w:spacing w:after="0" w:line="283" w:lineRule="auto"/>
              <w:jc w:val="left"/>
            </w:pPr>
            <w:r>
              <w:rPr>
                <w:rFonts w:eastAsia="Calibri"/>
                <w:b/>
                <w:color w:val="0B2545"/>
                <w:sz w:val="19"/>
              </w:rPr>
              <w:t>Cas, données et graphiques</w:t>
            </w:r>
          </w:p>
        </w:tc>
      </w:tr>
      <w:tr w:rsidR="00F86FAD" w:rsidRPr="00D72345" w14:paraId="2D6E666B" w14:textId="77777777">
        <w:trPr>
          <w:cantSplit/>
        </w:trPr>
        <w:tc>
          <w:tcPr>
            <w:tcW w:w="4680" w:type="dxa"/>
            <w:tcMar>
              <w:top w:w="80" w:type="dxa"/>
              <w:left w:w="120" w:type="dxa"/>
              <w:bottom w:w="80" w:type="dxa"/>
              <w:right w:w="120" w:type="dxa"/>
            </w:tcMar>
            <w:vAlign w:val="center"/>
          </w:tcPr>
          <w:p w14:paraId="3DE1900D" w14:textId="77777777" w:rsidR="00F86FAD" w:rsidRPr="00D72345" w:rsidRDefault="00000000">
            <w:pPr>
              <w:spacing w:after="0" w:line="252" w:lineRule="auto"/>
              <w:rPr>
                <w:lang w:val="fr-FR"/>
              </w:rPr>
            </w:pPr>
            <w:hyperlink r:id="rId29">
              <w:r w:rsidRPr="00D72345">
                <w:rPr>
                  <w:rFonts w:eastAsia="Calibri" w:cs="Calibri"/>
                  <w:color w:val="2E74B5"/>
                  <w:sz w:val="17"/>
                  <w:szCs w:val="17"/>
                  <w:u w:val="single"/>
                  <w:lang w:val="fr-FR"/>
                </w:rPr>
                <w:t>Réserve fédérale — Objectifs et fonctionnement de la politique monétaire</w:t>
              </w:r>
            </w:hyperlink>
          </w:p>
        </w:tc>
        <w:tc>
          <w:tcPr>
            <w:tcW w:w="4680" w:type="dxa"/>
            <w:tcMar>
              <w:top w:w="80" w:type="dxa"/>
              <w:left w:w="120" w:type="dxa"/>
              <w:bottom w:w="80" w:type="dxa"/>
              <w:right w:w="120" w:type="dxa"/>
            </w:tcMar>
            <w:vAlign w:val="center"/>
          </w:tcPr>
          <w:p w14:paraId="116010BA" w14:textId="77777777" w:rsidR="00F86FAD" w:rsidRPr="00D72345" w:rsidRDefault="00000000">
            <w:pPr>
              <w:spacing w:after="0" w:line="252" w:lineRule="auto"/>
              <w:rPr>
                <w:lang w:val="fr-FR"/>
              </w:rPr>
            </w:pPr>
            <w:hyperlink r:id="rId30">
              <w:r w:rsidRPr="00D72345">
                <w:rPr>
                  <w:rFonts w:eastAsia="Calibri" w:cs="Calibri"/>
                  <w:color w:val="2E74B5"/>
                  <w:sz w:val="17"/>
                  <w:szCs w:val="17"/>
                  <w:u w:val="single"/>
                  <w:lang w:val="fr-FR"/>
                </w:rPr>
                <w:t>Banque du Japon — Modification du contrôle de la courbe des taux, 20 décembre 2022</w:t>
              </w:r>
            </w:hyperlink>
          </w:p>
        </w:tc>
      </w:tr>
      <w:tr w:rsidR="00F86FAD" w:rsidRPr="00D72345" w14:paraId="3E04A41C" w14:textId="77777777">
        <w:trPr>
          <w:cantSplit/>
        </w:trPr>
        <w:tc>
          <w:tcPr>
            <w:tcW w:w="4680" w:type="dxa"/>
            <w:shd w:val="clear" w:color="auto" w:fill="FAFBFC"/>
            <w:tcMar>
              <w:top w:w="80" w:type="dxa"/>
              <w:left w:w="120" w:type="dxa"/>
              <w:bottom w:w="80" w:type="dxa"/>
              <w:right w:w="120" w:type="dxa"/>
            </w:tcMar>
            <w:vAlign w:val="center"/>
          </w:tcPr>
          <w:p w14:paraId="7F5BEF35" w14:textId="77777777" w:rsidR="00F86FAD" w:rsidRDefault="00000000">
            <w:pPr>
              <w:spacing w:after="0" w:line="252" w:lineRule="auto"/>
            </w:pPr>
            <w:hyperlink r:id="rId31">
              <w:r>
                <w:rPr>
                  <w:rFonts w:eastAsia="Calibri" w:cs="Calibri"/>
                  <w:color w:val="2E74B5"/>
                  <w:sz w:val="17"/>
                  <w:szCs w:val="17"/>
                  <w:u w:val="single"/>
                </w:rPr>
                <w:t>Réserve fédérale — Implementation and Transmission of Monetary Policy</w:t>
              </w:r>
            </w:hyperlink>
          </w:p>
        </w:tc>
        <w:tc>
          <w:tcPr>
            <w:tcW w:w="4680" w:type="dxa"/>
            <w:shd w:val="clear" w:color="auto" w:fill="FAFBFC"/>
            <w:tcMar>
              <w:top w:w="80" w:type="dxa"/>
              <w:left w:w="120" w:type="dxa"/>
              <w:bottom w:w="80" w:type="dxa"/>
              <w:right w:w="120" w:type="dxa"/>
            </w:tcMar>
            <w:vAlign w:val="center"/>
          </w:tcPr>
          <w:p w14:paraId="04F4CA61" w14:textId="77777777" w:rsidR="00F86FAD" w:rsidRPr="00D72345" w:rsidRDefault="00000000">
            <w:pPr>
              <w:spacing w:after="0" w:line="252" w:lineRule="auto"/>
              <w:rPr>
                <w:lang w:val="fr-FR"/>
              </w:rPr>
            </w:pPr>
            <w:hyperlink r:id="rId32">
              <w:r w:rsidRPr="00D72345">
                <w:rPr>
                  <w:rFonts w:eastAsia="Calibri" w:cs="Calibri"/>
                  <w:color w:val="2E74B5"/>
                  <w:sz w:val="17"/>
                  <w:szCs w:val="17"/>
                  <w:u w:val="single"/>
                  <w:lang w:val="fr-FR"/>
                </w:rPr>
                <w:t>BRI — Rôles et objectifs des banques centrales modernes</w:t>
              </w:r>
            </w:hyperlink>
          </w:p>
        </w:tc>
      </w:tr>
      <w:tr w:rsidR="00F86FAD" w:rsidRPr="00D72345" w14:paraId="7A8EDBC5" w14:textId="77777777">
        <w:trPr>
          <w:cantSplit/>
        </w:trPr>
        <w:tc>
          <w:tcPr>
            <w:tcW w:w="4680" w:type="dxa"/>
            <w:tcMar>
              <w:top w:w="80" w:type="dxa"/>
              <w:left w:w="120" w:type="dxa"/>
              <w:bottom w:w="80" w:type="dxa"/>
              <w:right w:w="120" w:type="dxa"/>
            </w:tcMar>
            <w:vAlign w:val="center"/>
          </w:tcPr>
          <w:p w14:paraId="53189AD7" w14:textId="77777777" w:rsidR="00F86FAD" w:rsidRPr="00D72345" w:rsidRDefault="00000000">
            <w:pPr>
              <w:spacing w:after="0" w:line="252" w:lineRule="auto"/>
              <w:rPr>
                <w:lang w:val="fr-FR"/>
              </w:rPr>
            </w:pPr>
            <w:hyperlink r:id="rId33">
              <w:r w:rsidRPr="00D72345">
                <w:rPr>
                  <w:rFonts w:eastAsia="Calibri" w:cs="Calibri"/>
                  <w:color w:val="2E74B5"/>
                  <w:sz w:val="17"/>
                  <w:szCs w:val="17"/>
                  <w:u w:val="single"/>
                  <w:lang w:val="fr-FR"/>
                </w:rPr>
                <w:t>BCE — Qu'est-ce que la politique monétaire ?</w:t>
              </w:r>
            </w:hyperlink>
          </w:p>
        </w:tc>
        <w:tc>
          <w:tcPr>
            <w:tcW w:w="4680" w:type="dxa"/>
            <w:tcMar>
              <w:top w:w="80" w:type="dxa"/>
              <w:left w:w="120" w:type="dxa"/>
              <w:bottom w:w="80" w:type="dxa"/>
              <w:right w:w="120" w:type="dxa"/>
            </w:tcMar>
            <w:vAlign w:val="center"/>
          </w:tcPr>
          <w:p w14:paraId="71F90DAF" w14:textId="77777777" w:rsidR="00F86FAD" w:rsidRPr="00D72345" w:rsidRDefault="00000000">
            <w:pPr>
              <w:spacing w:after="0" w:line="252" w:lineRule="auto"/>
              <w:rPr>
                <w:lang w:val="fr-FR"/>
              </w:rPr>
            </w:pPr>
            <w:hyperlink r:id="rId34">
              <w:r w:rsidRPr="00D72345">
                <w:rPr>
                  <w:rFonts w:eastAsia="Calibri" w:cs="Calibri"/>
                  <w:color w:val="2E74B5"/>
                  <w:sz w:val="17"/>
                  <w:szCs w:val="17"/>
                  <w:u w:val="single"/>
                  <w:lang w:val="fr-FR"/>
                </w:rPr>
                <w:t>BRI — Les banques centrales au cœur du système monétaire</w:t>
              </w:r>
            </w:hyperlink>
          </w:p>
        </w:tc>
      </w:tr>
      <w:tr w:rsidR="00F86FAD" w:rsidRPr="00D72345" w14:paraId="6227231B" w14:textId="77777777">
        <w:trPr>
          <w:cantSplit/>
        </w:trPr>
        <w:tc>
          <w:tcPr>
            <w:tcW w:w="4680" w:type="dxa"/>
            <w:shd w:val="clear" w:color="auto" w:fill="FAFBFC"/>
            <w:tcMar>
              <w:top w:w="80" w:type="dxa"/>
              <w:left w:w="120" w:type="dxa"/>
              <w:bottom w:w="80" w:type="dxa"/>
              <w:right w:w="120" w:type="dxa"/>
            </w:tcMar>
            <w:vAlign w:val="center"/>
          </w:tcPr>
          <w:p w14:paraId="559215AB" w14:textId="77777777" w:rsidR="00F86FAD" w:rsidRDefault="00000000">
            <w:pPr>
              <w:spacing w:after="0" w:line="252" w:lineRule="auto"/>
            </w:pPr>
            <w:hyperlink r:id="rId35">
              <w:r>
                <w:rPr>
                  <w:rFonts w:eastAsia="Calibri" w:cs="Calibri"/>
                  <w:color w:val="2E74B5"/>
                  <w:sz w:val="17"/>
                  <w:szCs w:val="17"/>
                  <w:u w:val="single"/>
                </w:rPr>
                <w:t>BCE — Objectif d'inflation de 2 %</w:t>
              </w:r>
            </w:hyperlink>
          </w:p>
        </w:tc>
        <w:tc>
          <w:tcPr>
            <w:tcW w:w="4680" w:type="dxa"/>
            <w:shd w:val="clear" w:color="auto" w:fill="FAFBFC"/>
            <w:tcMar>
              <w:top w:w="80" w:type="dxa"/>
              <w:left w:w="120" w:type="dxa"/>
              <w:bottom w:w="80" w:type="dxa"/>
              <w:right w:w="120" w:type="dxa"/>
            </w:tcMar>
            <w:vAlign w:val="center"/>
          </w:tcPr>
          <w:p w14:paraId="605619C2" w14:textId="77777777" w:rsidR="00F86FAD" w:rsidRPr="00D72345" w:rsidRDefault="00000000">
            <w:pPr>
              <w:spacing w:after="0" w:line="252" w:lineRule="auto"/>
              <w:rPr>
                <w:lang w:val="fr-FR"/>
              </w:rPr>
            </w:pPr>
            <w:hyperlink r:id="rId36">
              <w:r w:rsidRPr="00D72345">
                <w:rPr>
                  <w:rFonts w:eastAsia="Calibri" w:cs="Calibri"/>
                  <w:color w:val="2E74B5"/>
                  <w:sz w:val="17"/>
                  <w:szCs w:val="17"/>
                  <w:u w:val="single"/>
                  <w:lang w:val="fr-FR"/>
                </w:rPr>
                <w:t>Réserve fédérale — Discours de Jerome Powell à Jackson Hole, 26 août 2022</w:t>
              </w:r>
            </w:hyperlink>
          </w:p>
        </w:tc>
      </w:tr>
      <w:tr w:rsidR="00F86FAD" w:rsidRPr="00D72345" w14:paraId="6B2BD5A1" w14:textId="77777777">
        <w:trPr>
          <w:cantSplit/>
        </w:trPr>
        <w:tc>
          <w:tcPr>
            <w:tcW w:w="4680" w:type="dxa"/>
            <w:tcMar>
              <w:top w:w="80" w:type="dxa"/>
              <w:left w:w="120" w:type="dxa"/>
              <w:bottom w:w="80" w:type="dxa"/>
              <w:right w:w="120" w:type="dxa"/>
            </w:tcMar>
            <w:vAlign w:val="center"/>
          </w:tcPr>
          <w:p w14:paraId="127AB7C6" w14:textId="77777777" w:rsidR="00F86FAD" w:rsidRPr="00D72345" w:rsidRDefault="00000000">
            <w:pPr>
              <w:spacing w:after="0" w:line="252" w:lineRule="auto"/>
              <w:rPr>
                <w:lang w:val="fr-FR"/>
              </w:rPr>
            </w:pPr>
            <w:hyperlink r:id="rId37">
              <w:r w:rsidRPr="00D72345">
                <w:rPr>
                  <w:rFonts w:eastAsia="Calibri" w:cs="Calibri"/>
                  <w:color w:val="2E74B5"/>
                  <w:sz w:val="17"/>
                  <w:szCs w:val="17"/>
                  <w:u w:val="single"/>
                  <w:lang w:val="fr-FR"/>
                </w:rPr>
                <w:t>BCE — Mécanisme de transmission de la politique monétaire</w:t>
              </w:r>
            </w:hyperlink>
          </w:p>
        </w:tc>
        <w:tc>
          <w:tcPr>
            <w:tcW w:w="4680" w:type="dxa"/>
            <w:tcMar>
              <w:top w:w="80" w:type="dxa"/>
              <w:left w:w="120" w:type="dxa"/>
              <w:bottom w:w="80" w:type="dxa"/>
              <w:right w:w="120" w:type="dxa"/>
            </w:tcMar>
            <w:vAlign w:val="center"/>
          </w:tcPr>
          <w:p w14:paraId="08E8EF2A" w14:textId="77777777" w:rsidR="00F86FAD" w:rsidRPr="00D72345" w:rsidRDefault="00000000">
            <w:pPr>
              <w:spacing w:after="0" w:line="252" w:lineRule="auto"/>
              <w:rPr>
                <w:lang w:val="fr-FR"/>
              </w:rPr>
            </w:pPr>
            <w:hyperlink r:id="rId38">
              <w:r w:rsidRPr="00D72345">
                <w:rPr>
                  <w:rFonts w:eastAsia="Calibri" w:cs="Calibri"/>
                  <w:color w:val="2E74B5"/>
                  <w:sz w:val="17"/>
                  <w:szCs w:val="17"/>
                  <w:u w:val="single"/>
                  <w:lang w:val="fr-FR"/>
                </w:rPr>
                <w:t>Reuters — Réaction de Wall Street au discours de Jackson Hole, 26 août 2022</w:t>
              </w:r>
            </w:hyperlink>
          </w:p>
        </w:tc>
      </w:tr>
      <w:tr w:rsidR="00F86FAD" w:rsidRPr="00D72345" w14:paraId="035D3E90" w14:textId="77777777">
        <w:trPr>
          <w:cantSplit/>
        </w:trPr>
        <w:tc>
          <w:tcPr>
            <w:tcW w:w="4680" w:type="dxa"/>
            <w:shd w:val="clear" w:color="auto" w:fill="FAFBFC"/>
            <w:tcMar>
              <w:top w:w="80" w:type="dxa"/>
              <w:left w:w="120" w:type="dxa"/>
              <w:bottom w:w="80" w:type="dxa"/>
              <w:right w:w="120" w:type="dxa"/>
            </w:tcMar>
            <w:vAlign w:val="center"/>
          </w:tcPr>
          <w:p w14:paraId="0BAF643F" w14:textId="77777777" w:rsidR="00F86FAD" w:rsidRPr="00D72345" w:rsidRDefault="00000000">
            <w:pPr>
              <w:spacing w:after="0" w:line="252" w:lineRule="auto"/>
              <w:rPr>
                <w:lang w:val="fr-FR"/>
              </w:rPr>
            </w:pPr>
            <w:hyperlink r:id="rId39">
              <w:r w:rsidRPr="00D72345">
                <w:rPr>
                  <w:rFonts w:eastAsia="Calibri" w:cs="Calibri"/>
                  <w:color w:val="2E74B5"/>
                  <w:sz w:val="17"/>
                  <w:szCs w:val="17"/>
                  <w:u w:val="single"/>
                  <w:lang w:val="fr-FR"/>
                </w:rPr>
                <w:t>BCE — Mise en œuvre et instruments de politique monétaire</w:t>
              </w:r>
            </w:hyperlink>
          </w:p>
        </w:tc>
        <w:tc>
          <w:tcPr>
            <w:tcW w:w="4680" w:type="dxa"/>
            <w:shd w:val="clear" w:color="auto" w:fill="FAFBFC"/>
            <w:tcMar>
              <w:top w:w="80" w:type="dxa"/>
              <w:left w:w="120" w:type="dxa"/>
              <w:bottom w:w="80" w:type="dxa"/>
              <w:right w:w="120" w:type="dxa"/>
            </w:tcMar>
            <w:vAlign w:val="center"/>
          </w:tcPr>
          <w:p w14:paraId="62A587F2" w14:textId="77777777" w:rsidR="00F86FAD" w:rsidRPr="00D72345" w:rsidRDefault="00000000">
            <w:pPr>
              <w:spacing w:after="0" w:line="252" w:lineRule="auto"/>
              <w:rPr>
                <w:lang w:val="fr-FR"/>
              </w:rPr>
            </w:pPr>
            <w:hyperlink r:id="rId40">
              <w:r w:rsidRPr="00D72345">
                <w:rPr>
                  <w:rFonts w:eastAsia="Calibri" w:cs="Calibri"/>
                  <w:color w:val="2E74B5"/>
                  <w:sz w:val="17"/>
                  <w:szCs w:val="17"/>
                  <w:u w:val="single"/>
                  <w:lang w:val="fr-FR"/>
                </w:rPr>
                <w:t>Reuters — Hausse du yen après la décision surprise de la Banque du Japon</w:t>
              </w:r>
            </w:hyperlink>
          </w:p>
        </w:tc>
      </w:tr>
      <w:tr w:rsidR="00F86FAD" w14:paraId="11A7FA61" w14:textId="77777777">
        <w:trPr>
          <w:cantSplit/>
        </w:trPr>
        <w:tc>
          <w:tcPr>
            <w:tcW w:w="4680" w:type="dxa"/>
            <w:tcMar>
              <w:top w:w="80" w:type="dxa"/>
              <w:left w:w="120" w:type="dxa"/>
              <w:bottom w:w="80" w:type="dxa"/>
              <w:right w:w="120" w:type="dxa"/>
            </w:tcMar>
            <w:vAlign w:val="center"/>
          </w:tcPr>
          <w:p w14:paraId="2B35C027" w14:textId="77777777" w:rsidR="00F86FAD" w:rsidRDefault="00000000">
            <w:pPr>
              <w:spacing w:after="0" w:line="252" w:lineRule="auto"/>
            </w:pPr>
            <w:hyperlink r:id="rId41">
              <w:r>
                <w:rPr>
                  <w:rFonts w:eastAsia="Calibri" w:cs="Calibri"/>
                  <w:color w:val="2E74B5"/>
                  <w:sz w:val="17"/>
                  <w:szCs w:val="17"/>
                  <w:u w:val="single"/>
                </w:rPr>
                <w:t>Banque d'Angleterre — Quantitative easing</w:t>
              </w:r>
            </w:hyperlink>
          </w:p>
        </w:tc>
        <w:tc>
          <w:tcPr>
            <w:tcW w:w="4680" w:type="dxa"/>
            <w:tcMar>
              <w:top w:w="80" w:type="dxa"/>
              <w:left w:w="120" w:type="dxa"/>
              <w:bottom w:w="80" w:type="dxa"/>
              <w:right w:w="120" w:type="dxa"/>
            </w:tcMar>
            <w:vAlign w:val="center"/>
          </w:tcPr>
          <w:p w14:paraId="48196797" w14:textId="77777777" w:rsidR="00F86FAD" w:rsidRDefault="00000000">
            <w:pPr>
              <w:spacing w:after="0" w:line="252" w:lineRule="auto"/>
            </w:pPr>
            <w:hyperlink r:id="rId42">
              <w:r>
                <w:rPr>
                  <w:rFonts w:eastAsia="Calibri" w:cs="Calibri"/>
                  <w:color w:val="2E74B5"/>
                  <w:sz w:val="17"/>
                  <w:szCs w:val="17"/>
                  <w:u w:val="single"/>
                </w:rPr>
                <w:t>TradingView — S&amp;P 500 Index (SP:SPX)</w:t>
              </w:r>
            </w:hyperlink>
          </w:p>
        </w:tc>
      </w:tr>
      <w:tr w:rsidR="00F86FAD" w14:paraId="11E4401E" w14:textId="77777777">
        <w:trPr>
          <w:cantSplit/>
        </w:trPr>
        <w:tc>
          <w:tcPr>
            <w:tcW w:w="4680" w:type="dxa"/>
            <w:shd w:val="clear" w:color="auto" w:fill="FAFBFC"/>
            <w:tcMar>
              <w:top w:w="80" w:type="dxa"/>
              <w:left w:w="120" w:type="dxa"/>
              <w:bottom w:w="80" w:type="dxa"/>
              <w:right w:w="120" w:type="dxa"/>
            </w:tcMar>
            <w:vAlign w:val="center"/>
          </w:tcPr>
          <w:p w14:paraId="743D0BA4" w14:textId="77777777" w:rsidR="00F86FAD" w:rsidRPr="00D72345" w:rsidRDefault="00000000">
            <w:pPr>
              <w:spacing w:after="0" w:line="252" w:lineRule="auto"/>
              <w:rPr>
                <w:lang w:val="fr-FR"/>
              </w:rPr>
            </w:pPr>
            <w:hyperlink r:id="rId43">
              <w:r w:rsidRPr="00D72345">
                <w:rPr>
                  <w:rFonts w:eastAsia="Calibri" w:cs="Calibri"/>
                  <w:color w:val="2E74B5"/>
                  <w:sz w:val="17"/>
                  <w:szCs w:val="17"/>
                  <w:u w:val="single"/>
                  <w:lang w:val="fr-FR"/>
                </w:rPr>
                <w:t>FMI — Pourquoi l'indépendance des banques centrales est nécessaire</w:t>
              </w:r>
            </w:hyperlink>
          </w:p>
        </w:tc>
        <w:tc>
          <w:tcPr>
            <w:tcW w:w="4680" w:type="dxa"/>
            <w:shd w:val="clear" w:color="auto" w:fill="FAFBFC"/>
            <w:tcMar>
              <w:top w:w="80" w:type="dxa"/>
              <w:left w:w="120" w:type="dxa"/>
              <w:bottom w:w="80" w:type="dxa"/>
              <w:right w:w="120" w:type="dxa"/>
            </w:tcMar>
            <w:vAlign w:val="center"/>
          </w:tcPr>
          <w:p w14:paraId="64F47974" w14:textId="77777777" w:rsidR="00F86FAD" w:rsidRDefault="00000000">
            <w:pPr>
              <w:spacing w:after="0" w:line="252" w:lineRule="auto"/>
            </w:pPr>
            <w:hyperlink r:id="rId44">
              <w:r>
                <w:rPr>
                  <w:rFonts w:eastAsia="Calibri" w:cs="Calibri"/>
                  <w:color w:val="2E74B5"/>
                  <w:sz w:val="17"/>
                  <w:szCs w:val="17"/>
                  <w:u w:val="single"/>
                </w:rPr>
                <w:t>TradingView — U.S. Dollar / Japanese Yen (</w:t>
              </w:r>
              <w:proofErr w:type="gramStart"/>
              <w:r>
                <w:rPr>
                  <w:rFonts w:eastAsia="Calibri" w:cs="Calibri"/>
                  <w:color w:val="2E74B5"/>
                  <w:sz w:val="17"/>
                  <w:szCs w:val="17"/>
                  <w:u w:val="single"/>
                </w:rPr>
                <w:t>FX:USDJPY</w:t>
              </w:r>
              <w:proofErr w:type="gramEnd"/>
              <w:r>
                <w:rPr>
                  <w:rFonts w:eastAsia="Calibri" w:cs="Calibri"/>
                  <w:color w:val="2E74B5"/>
                  <w:sz w:val="17"/>
                  <w:szCs w:val="17"/>
                  <w:u w:val="single"/>
                </w:rPr>
                <w:t>)</w:t>
              </w:r>
            </w:hyperlink>
          </w:p>
        </w:tc>
      </w:tr>
    </w:tbl>
    <w:p w14:paraId="7C7C84BA" w14:textId="77777777" w:rsidR="00F86FAD" w:rsidRDefault="00F86FAD">
      <w:pPr>
        <w:spacing w:after="100"/>
      </w:pPr>
    </w:p>
    <w:p w14:paraId="4FFCDEDD" w14:textId="77777777" w:rsidR="00F86FAD" w:rsidRPr="00D72345" w:rsidRDefault="00000000">
      <w:pPr>
        <w:keepLines/>
        <w:pBdr>
          <w:left w:val="single" w:sz="18" w:space="8" w:color="A61B1B"/>
        </w:pBdr>
        <w:shd w:val="clear" w:color="auto" w:fill="FCEDED"/>
        <w:spacing w:before="100" w:after="200" w:line="288" w:lineRule="auto"/>
        <w:ind w:left="173" w:right="115"/>
        <w:rPr>
          <w:lang w:val="fr-FR"/>
        </w:rPr>
      </w:pPr>
      <w:r w:rsidRPr="00D72345">
        <w:rPr>
          <w:rFonts w:eastAsia="Calibri"/>
          <w:b/>
          <w:color w:val="A61B1B"/>
          <w:sz w:val="20"/>
          <w:lang w:val="fr-FR"/>
        </w:rPr>
        <w:t xml:space="preserve">AVERTISSEMENT </w:t>
      </w:r>
      <w:proofErr w:type="gramStart"/>
      <w:r w:rsidRPr="00D72345">
        <w:rPr>
          <w:rFonts w:eastAsia="Calibri"/>
          <w:b/>
          <w:color w:val="A61B1B"/>
          <w:sz w:val="20"/>
          <w:lang w:val="fr-FR"/>
        </w:rPr>
        <w:t xml:space="preserve">PÉDAGOGIQUE  </w:t>
      </w:r>
      <w:r w:rsidRPr="00D72345">
        <w:rPr>
          <w:rFonts w:eastAsia="Calibri"/>
          <w:sz w:val="21"/>
          <w:lang w:val="fr-FR"/>
        </w:rPr>
        <w:t>Ce</w:t>
      </w:r>
      <w:proofErr w:type="gramEnd"/>
      <w:r w:rsidRPr="00D72345">
        <w:rPr>
          <w:rFonts w:eastAsia="Calibri"/>
          <w:sz w:val="21"/>
          <w:lang w:val="fr-FR"/>
        </w:rPr>
        <w:t xml:space="preserve"> cours présente des mécanismes généraux et des cas historiques. Il ne tient pas compte de la situation financière, de la fiscalité ou de la tolérance au risque d'une personne.</w:t>
      </w:r>
    </w:p>
    <w:sectPr w:rsidR="00F86FAD" w:rsidRPr="00D72345" w:rsidSect="00034616">
      <w:headerReference w:type="default" r:id="rId45"/>
      <w:footerReference w:type="default" r:id="rId4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4A3D9" w14:textId="77777777" w:rsidR="006B69AA" w:rsidRDefault="006B69AA">
      <w:pPr>
        <w:spacing w:after="0" w:line="240" w:lineRule="auto"/>
      </w:pPr>
      <w:r>
        <w:separator/>
      </w:r>
    </w:p>
  </w:endnote>
  <w:endnote w:type="continuationSeparator" w:id="0">
    <w:p w14:paraId="7565C69A" w14:textId="77777777" w:rsidR="006B69AA" w:rsidRDefault="006B6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3951" w14:textId="77777777" w:rsidR="00F86FAD" w:rsidRDefault="00000000">
    <w:pPr>
      <w:pStyle w:val="Pieddepage"/>
      <w:jc w:val="right"/>
    </w:pPr>
    <w:r>
      <w:rPr>
        <w:rFonts w:eastAsia="Calibri"/>
        <w:color w:val="667085"/>
        <w:sz w:val="17"/>
      </w:rPr>
      <w:t xml:space="preserve">PAGE </w:t>
    </w:r>
    <w:r>
      <w:rPr>
        <w:rFonts w:eastAsia="Calibri"/>
        <w:color w:val="667085"/>
        <w:sz w:val="17"/>
      </w:rPr>
      <w:fldChar w:fldCharType="begin"/>
    </w:r>
    <w:r>
      <w:rPr>
        <w:rFonts w:eastAsia="Calibri"/>
        <w:color w:val="667085"/>
        <w:sz w:val="17"/>
      </w:rPr>
      <w:instrText>PAGE</w:instrText>
    </w:r>
    <w:r>
      <w:rPr>
        <w:rFonts w:eastAsia="Calibri"/>
        <w:color w:val="667085"/>
        <w:sz w:val="17"/>
      </w:rPr>
      <w:fldChar w:fldCharType="separate"/>
    </w:r>
    <w:r>
      <w:rPr>
        <w:rFonts w:eastAsia="Calibri"/>
        <w:color w:val="667085"/>
        <w:sz w:val="17"/>
      </w:rPr>
      <w:t>1</w:t>
    </w:r>
    <w:r>
      <w:rPr>
        <w:rFonts w:eastAsia="Calibri"/>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554C" w14:textId="77777777" w:rsidR="006B69AA" w:rsidRDefault="006B69AA">
      <w:pPr>
        <w:spacing w:after="0" w:line="240" w:lineRule="auto"/>
      </w:pPr>
      <w:r>
        <w:separator/>
      </w:r>
    </w:p>
  </w:footnote>
  <w:footnote w:type="continuationSeparator" w:id="0">
    <w:p w14:paraId="18407B53" w14:textId="77777777" w:rsidR="006B69AA" w:rsidRDefault="006B6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0F338" w14:textId="77777777" w:rsidR="00F86FAD" w:rsidRDefault="00000000">
    <w:pPr>
      <w:pBdr>
        <w:bottom w:val="single" w:sz="6" w:space="4" w:color="D4DCE6"/>
      </w:pBdr>
      <w:tabs>
        <w:tab w:val="right" w:pos="9360"/>
      </w:tabs>
      <w:spacing w:after="40"/>
    </w:pPr>
    <w:r>
      <w:rPr>
        <w:rFonts w:eastAsia="Calibri"/>
        <w:b/>
        <w:color w:val="667085"/>
        <w:sz w:val="17"/>
      </w:rPr>
      <w:t>FORMATION INVESTISSEMENT &amp; TRADING</w:t>
    </w:r>
    <w:r>
      <w:rPr>
        <w:rFonts w:eastAsia="Calibri"/>
        <w:b/>
        <w:color w:val="667085"/>
        <w:sz w:val="17"/>
      </w:rPr>
      <w:tab/>
      <w:t>VOLUME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7A3807"/>
    <w:multiLevelType w:val="singleLevel"/>
    <w:tmpl w:val="48E85348"/>
    <w:lvl w:ilvl="0">
      <w:start w:val="1"/>
      <w:numFmt w:val="decimal"/>
      <w:lvlText w:val="%1."/>
      <w:lvlJc w:val="left"/>
      <w:pPr>
        <w:tabs>
          <w:tab w:val="num" w:pos="540"/>
        </w:tabs>
        <w:ind w:left="540" w:hanging="280"/>
      </w:pPr>
    </w:lvl>
  </w:abstractNum>
  <w:abstractNum w:abstractNumId="10" w15:restartNumberingAfterBreak="0">
    <w:nsid w:val="0352221E"/>
    <w:multiLevelType w:val="singleLevel"/>
    <w:tmpl w:val="2528B57C"/>
    <w:lvl w:ilvl="0">
      <w:start w:val="1"/>
      <w:numFmt w:val="decimal"/>
      <w:lvlText w:val="%1."/>
      <w:lvlJc w:val="left"/>
      <w:pPr>
        <w:tabs>
          <w:tab w:val="num" w:pos="540"/>
        </w:tabs>
        <w:ind w:left="540" w:hanging="280"/>
      </w:pPr>
    </w:lvl>
  </w:abstractNum>
  <w:abstractNum w:abstractNumId="11" w15:restartNumberingAfterBreak="0">
    <w:nsid w:val="074B070A"/>
    <w:multiLevelType w:val="singleLevel"/>
    <w:tmpl w:val="731421C2"/>
    <w:lvl w:ilvl="0">
      <w:start w:val="1"/>
      <w:numFmt w:val="bullet"/>
      <w:lvlText w:val="•"/>
      <w:lvlJc w:val="left"/>
      <w:pPr>
        <w:tabs>
          <w:tab w:val="num" w:pos="540"/>
        </w:tabs>
        <w:ind w:left="540" w:hanging="280"/>
      </w:pPr>
    </w:lvl>
  </w:abstractNum>
  <w:abstractNum w:abstractNumId="12" w15:restartNumberingAfterBreak="0">
    <w:nsid w:val="18390660"/>
    <w:multiLevelType w:val="singleLevel"/>
    <w:tmpl w:val="6FE4F5EA"/>
    <w:lvl w:ilvl="0">
      <w:start w:val="1"/>
      <w:numFmt w:val="decimal"/>
      <w:lvlText w:val="%1."/>
      <w:lvlJc w:val="left"/>
      <w:pPr>
        <w:tabs>
          <w:tab w:val="num" w:pos="540"/>
        </w:tabs>
        <w:ind w:left="540" w:hanging="280"/>
      </w:pPr>
    </w:lvl>
  </w:abstractNum>
  <w:abstractNum w:abstractNumId="13" w15:restartNumberingAfterBreak="0">
    <w:nsid w:val="2C34786A"/>
    <w:multiLevelType w:val="singleLevel"/>
    <w:tmpl w:val="80A6BFA6"/>
    <w:lvl w:ilvl="0">
      <w:start w:val="1"/>
      <w:numFmt w:val="bullet"/>
      <w:lvlText w:val="✓"/>
      <w:lvlJc w:val="left"/>
      <w:pPr>
        <w:tabs>
          <w:tab w:val="num" w:pos="540"/>
        </w:tabs>
        <w:ind w:left="540" w:hanging="280"/>
      </w:pPr>
    </w:lvl>
  </w:abstractNum>
  <w:abstractNum w:abstractNumId="14" w15:restartNumberingAfterBreak="0">
    <w:nsid w:val="33BE4972"/>
    <w:multiLevelType w:val="singleLevel"/>
    <w:tmpl w:val="AE5C7CE8"/>
    <w:lvl w:ilvl="0">
      <w:start w:val="1"/>
      <w:numFmt w:val="decimal"/>
      <w:lvlText w:val="%1."/>
      <w:lvlJc w:val="left"/>
      <w:pPr>
        <w:tabs>
          <w:tab w:val="num" w:pos="700"/>
        </w:tabs>
        <w:ind w:left="700" w:hanging="340"/>
      </w:pPr>
    </w:lvl>
  </w:abstractNum>
  <w:abstractNum w:abstractNumId="15" w15:restartNumberingAfterBreak="0">
    <w:nsid w:val="5AD4342A"/>
    <w:multiLevelType w:val="singleLevel"/>
    <w:tmpl w:val="DA464BC6"/>
    <w:lvl w:ilvl="0">
      <w:start w:val="1"/>
      <w:numFmt w:val="decimal"/>
      <w:lvlText w:val="%1."/>
      <w:lvlJc w:val="left"/>
      <w:pPr>
        <w:tabs>
          <w:tab w:val="num" w:pos="540"/>
        </w:tabs>
        <w:ind w:left="540" w:hanging="280"/>
      </w:pPr>
    </w:lvl>
  </w:abstractNum>
  <w:abstractNum w:abstractNumId="16" w15:restartNumberingAfterBreak="0">
    <w:nsid w:val="69750AF6"/>
    <w:multiLevelType w:val="singleLevel"/>
    <w:tmpl w:val="4008DDFC"/>
    <w:lvl w:ilvl="0">
      <w:start w:val="1"/>
      <w:numFmt w:val="decimal"/>
      <w:lvlText w:val="%1."/>
      <w:lvlJc w:val="left"/>
      <w:pPr>
        <w:tabs>
          <w:tab w:val="num" w:pos="540"/>
        </w:tabs>
        <w:ind w:left="540" w:hanging="280"/>
      </w:pPr>
    </w:lvl>
  </w:abstractNum>
  <w:abstractNum w:abstractNumId="17" w15:restartNumberingAfterBreak="0">
    <w:nsid w:val="6BF441ED"/>
    <w:multiLevelType w:val="singleLevel"/>
    <w:tmpl w:val="D666A0AA"/>
    <w:lvl w:ilvl="0">
      <w:start w:val="1"/>
      <w:numFmt w:val="decimal"/>
      <w:lvlText w:val="%1."/>
      <w:lvlJc w:val="left"/>
      <w:pPr>
        <w:tabs>
          <w:tab w:val="num" w:pos="540"/>
        </w:tabs>
        <w:ind w:left="540" w:hanging="280"/>
      </w:pPr>
    </w:lvl>
  </w:abstractNum>
  <w:abstractNum w:abstractNumId="18" w15:restartNumberingAfterBreak="0">
    <w:nsid w:val="77233C98"/>
    <w:multiLevelType w:val="singleLevel"/>
    <w:tmpl w:val="98C0815C"/>
    <w:lvl w:ilvl="0">
      <w:start w:val="1"/>
      <w:numFmt w:val="decimal"/>
      <w:pStyle w:val="Listepuces"/>
      <w:lvlText w:val="%1."/>
      <w:lvlJc w:val="left"/>
      <w:pPr>
        <w:tabs>
          <w:tab w:val="num" w:pos="540"/>
        </w:tabs>
        <w:ind w:left="540" w:hanging="280"/>
      </w:pPr>
    </w:lvl>
  </w:abstractNum>
  <w:num w:numId="1" w16cid:durableId="390617878">
    <w:abstractNumId w:val="18"/>
  </w:num>
  <w:num w:numId="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69AA"/>
    <w:rsid w:val="009248E9"/>
    <w:rsid w:val="00AA1D8D"/>
    <w:rsid w:val="00B47730"/>
    <w:rsid w:val="00CB0664"/>
    <w:rsid w:val="00D72345"/>
    <w:rsid w:val="00F86F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9B8E6"/>
  <w14:defaultImageDpi w14:val="300"/>
  <w15:docId w15:val="{62880EE8-1299-4ABA-826C-C0B0E5B9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C2430"/>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tabs>
        <w:tab w:val="num" w:pos="360"/>
      </w:tabs>
      <w:contextualSpacing/>
    </w:pPr>
  </w:style>
  <w:style w:type="paragraph" w:styleId="Listepuces3">
    <w:name w:val="List Bullet 3"/>
    <w:basedOn w:val="Normal"/>
    <w:uiPriority w:val="99"/>
    <w:unhideWhenUsed/>
    <w:rsid w:val="00326F90"/>
    <w:pPr>
      <w:tabs>
        <w:tab w:val="num" w:pos="360"/>
      </w:tabs>
      <w:contextualSpacing/>
    </w:pPr>
  </w:style>
  <w:style w:type="paragraph" w:styleId="Listenumros">
    <w:name w:val="List Number"/>
    <w:basedOn w:val="Normal"/>
    <w:uiPriority w:val="99"/>
    <w:unhideWhenUsed/>
    <w:rsid w:val="00326F90"/>
    <w:pPr>
      <w:tabs>
        <w:tab w:val="num" w:pos="360"/>
      </w:tabs>
      <w:contextualSpacing/>
    </w:pPr>
  </w:style>
  <w:style w:type="paragraph" w:styleId="Listenumros2">
    <w:name w:val="List Number 2"/>
    <w:basedOn w:val="Normal"/>
    <w:uiPriority w:val="99"/>
    <w:unhideWhenUsed/>
    <w:rsid w:val="0029639D"/>
    <w:pPr>
      <w:tabs>
        <w:tab w:val="num" w:pos="360"/>
      </w:tabs>
      <w:contextualSpacing/>
    </w:pPr>
  </w:style>
  <w:style w:type="paragraph" w:styleId="Listenumros3">
    <w:name w:val="List Number 3"/>
    <w:basedOn w:val="Normal"/>
    <w:uiPriority w:val="99"/>
    <w:unhideWhenUsed/>
    <w:rsid w:val="0029639D"/>
    <w:pPr>
      <w:tabs>
        <w:tab w:val="num" w:pos="360"/>
      </w:tabs>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f.org/en/news/articles/2024/06/17/sp061424-central-bank-independence" TargetMode="External"/><Relationship Id="rId18" Type="http://schemas.openxmlformats.org/officeDocument/2006/relationships/image" Target="media/image1.png"/><Relationship Id="rId26" Type="http://schemas.openxmlformats.org/officeDocument/2006/relationships/hyperlink" Target="https://www.tradingview.com/chart/?symbol=FX%3AUSDJPY" TargetMode="External"/><Relationship Id="rId39" Type="http://schemas.openxmlformats.org/officeDocument/2006/relationships/hyperlink" Target="https://www.ecb.europa.eu/mopo/implement/html/index.en.html" TargetMode="External"/><Relationship Id="rId21" Type="http://schemas.openxmlformats.org/officeDocument/2006/relationships/image" Target="media/image2.jpg"/><Relationship Id="rId34" Type="http://schemas.openxmlformats.org/officeDocument/2006/relationships/hyperlink" Target="https://www.bis.org/publ/arpdf/ar2025e3.htm" TargetMode="External"/><Relationship Id="rId42" Type="http://schemas.openxmlformats.org/officeDocument/2006/relationships/hyperlink" Target="https://www.tradingview.com/chart/?symbol=SP%3ASPX"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ankofengland.co.uk/monetary-policy/quantitative-easing" TargetMode="External"/><Relationship Id="rId29" Type="http://schemas.openxmlformats.org/officeDocument/2006/relationships/hyperlink" Target="https://www.federalreserve.gov/monetarypolicy/monetary-policy-what-are-its-goals-how-does-it-work.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ederalreserve.gov/monetarypolicy/monetary-policy-what-are-its-goals-how-does-it-work.htm" TargetMode="External"/><Relationship Id="rId24" Type="http://schemas.openxmlformats.org/officeDocument/2006/relationships/hyperlink" Target="https://www.reuters.com/markets/europe/futures-ebb-powells-speech-nears-2022-08-26/" TargetMode="External"/><Relationship Id="rId32" Type="http://schemas.openxmlformats.org/officeDocument/2006/relationships/hyperlink" Target="https://www.bis.org/publ/othp04_2.pdf" TargetMode="External"/><Relationship Id="rId37" Type="http://schemas.openxmlformats.org/officeDocument/2006/relationships/hyperlink" Target="https://www.ecb.europa.eu/mopo/intro/transmission/html/index.en.html" TargetMode="External"/><Relationship Id="rId40" Type="http://schemas.openxmlformats.org/officeDocument/2006/relationships/hyperlink" Target="https://www.reuters.com/markets/currencies/yen-defensive-before-boj-nz-dollar-sinks-2022-12-20/"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ecb.europa.eu/mopo/implement/html/index.en.html" TargetMode="External"/><Relationship Id="rId23" Type="http://schemas.openxmlformats.org/officeDocument/2006/relationships/hyperlink" Target="https://www.federalreserve.gov/newsevents/speech/powell20220826a.htm" TargetMode="External"/><Relationship Id="rId28" Type="http://schemas.openxmlformats.org/officeDocument/2006/relationships/hyperlink" Target="https://www.reuters.com/markets/currencies/yen-defensive-before-boj-nz-dollar-sinks-2022-12-20/" TargetMode="External"/><Relationship Id="rId36" Type="http://schemas.openxmlformats.org/officeDocument/2006/relationships/hyperlink" Target="https://www.federalreserve.gov/newsevents/speech/powell20220826a.htm" TargetMode="External"/><Relationship Id="rId10" Type="http://schemas.openxmlformats.org/officeDocument/2006/relationships/hyperlink" Target="https://www.bis.org/publ/arpdf/ar2025e3.htm" TargetMode="External"/><Relationship Id="rId19" Type="http://schemas.openxmlformats.org/officeDocument/2006/relationships/hyperlink" Target="https://www.ecb.europa.eu/mopo/intro/transmission/html/index.en.html" TargetMode="External"/><Relationship Id="rId31" Type="http://schemas.openxmlformats.org/officeDocument/2006/relationships/hyperlink" Target="https://www.federalreserve.gov/newsevents/speech/jefferson20230327a.htm" TargetMode="External"/><Relationship Id="rId44" Type="http://schemas.openxmlformats.org/officeDocument/2006/relationships/hyperlink" Target="https://www.tradingview.com/chart/?symbol=FX%3AUSDJPY" TargetMode="External"/><Relationship Id="rId4" Type="http://schemas.openxmlformats.org/officeDocument/2006/relationships/settings" Target="settings.xml"/><Relationship Id="rId9" Type="http://schemas.openxmlformats.org/officeDocument/2006/relationships/hyperlink" Target="https://www.bis.org/publ/othp04_2.pdf" TargetMode="External"/><Relationship Id="rId14" Type="http://schemas.openxmlformats.org/officeDocument/2006/relationships/hyperlink" Target="https://www.federalreserve.gov/newsevents/speech/jefferson20230327a.htm" TargetMode="External"/><Relationship Id="rId22" Type="http://schemas.openxmlformats.org/officeDocument/2006/relationships/hyperlink" Target="https://www.tradingview.com/chart/?symbol=SP%3ASPX" TargetMode="External"/><Relationship Id="rId27" Type="http://schemas.openxmlformats.org/officeDocument/2006/relationships/hyperlink" Target="https://www.boj.or.jp/en/mopo/mpmdeci/mpr_2022/k221220a.pdf" TargetMode="External"/><Relationship Id="rId30" Type="http://schemas.openxmlformats.org/officeDocument/2006/relationships/hyperlink" Target="https://www.boj.or.jp/en/mopo/mpmdeci/mpr_2022/k221220a.pdf" TargetMode="External"/><Relationship Id="rId35" Type="http://schemas.openxmlformats.org/officeDocument/2006/relationships/hyperlink" Target="https://www.ecb.europa.eu/mopo/strategy/pricestab/html/index.en.html" TargetMode="External"/><Relationship Id="rId43" Type="http://schemas.openxmlformats.org/officeDocument/2006/relationships/hyperlink" Target="https://www.imf.org/en/news/articles/2024/06/17/sp061424-central-bank-independence" TargetMode="External"/><Relationship Id="rId48" Type="http://schemas.openxmlformats.org/officeDocument/2006/relationships/theme" Target="theme/theme1.xml"/><Relationship Id="rId8" Type="http://schemas.openxmlformats.org/officeDocument/2006/relationships/hyperlink" Target="https://www.ecb.europa.eu/ecb-and-you/explainers/tell-me/html/what-is-monetary-policy.en.html" TargetMode="External"/><Relationship Id="rId3" Type="http://schemas.openxmlformats.org/officeDocument/2006/relationships/styles" Target="styles.xml"/><Relationship Id="rId12" Type="http://schemas.openxmlformats.org/officeDocument/2006/relationships/hyperlink" Target="https://www.ecb.europa.eu/mopo/strategy/pricestab/html/index.en.html" TargetMode="External"/><Relationship Id="rId17" Type="http://schemas.openxmlformats.org/officeDocument/2006/relationships/hyperlink" Target="https://www.ecb.europa.eu/mopo/implement/html/index.en.html" TargetMode="External"/><Relationship Id="rId25" Type="http://schemas.openxmlformats.org/officeDocument/2006/relationships/image" Target="media/image3.jpg"/><Relationship Id="rId33" Type="http://schemas.openxmlformats.org/officeDocument/2006/relationships/hyperlink" Target="https://www.ecb.europa.eu/ecb-and-you/explainers/tell-me/html/what-is-monetary-policy.en.html" TargetMode="External"/><Relationship Id="rId38" Type="http://schemas.openxmlformats.org/officeDocument/2006/relationships/hyperlink" Target="https://www.reuters.com/markets/europe/futures-ebb-powells-speech-nears-2022-08-26/" TargetMode="External"/><Relationship Id="rId46" Type="http://schemas.openxmlformats.org/officeDocument/2006/relationships/footer" Target="footer1.xml"/><Relationship Id="rId20" Type="http://schemas.openxmlformats.org/officeDocument/2006/relationships/hyperlink" Target="https://www.ecb.europa.eu/mopo/intro/transmission/html/index.en.html" TargetMode="External"/><Relationship Id="rId41" Type="http://schemas.openxmlformats.org/officeDocument/2006/relationships/hyperlink" Target="https://www.bankofengland.co.uk/monetary-policy/quantitative-ea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6030</Words>
  <Characters>33169</Characters>
  <Application>Microsoft Office Word</Application>
  <DocSecurity>0</DocSecurity>
  <Lines>276</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4 · Partie 1 — Les banques centrales</dc:title>
  <dc:subject>Comprendre le rôle, les décisions, les outils et la transmission des banques centrales</dc:subject>
  <dc:creator>Support pédagogique personnalisé</dc:creator>
  <cp:keywords>banques centrales, politique monétaire, taux directeurs, QE, QT, YCC, marchés financiers</cp:keywords>
  <dc:description>generated by python-docx</dc:description>
  <cp:lastModifiedBy>tamara bidault</cp:lastModifiedBy>
  <cp:revision>2</cp:revision>
  <dcterms:created xsi:type="dcterms:W3CDTF">2013-12-23T23:15:00Z</dcterms:created>
  <dcterms:modified xsi:type="dcterms:W3CDTF">2026-07-22T15:13:00Z</dcterms:modified>
  <cp:category/>
</cp:coreProperties>
</file>