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24A4" w14:textId="77777777" w:rsidR="005A169D" w:rsidRPr="00D74FD3" w:rsidRDefault="00000000">
      <w:pPr>
        <w:spacing w:before="1840" w:after="360"/>
        <w:jc w:val="center"/>
        <w:rPr>
          <w:lang w:val="fr-FR"/>
        </w:rPr>
      </w:pPr>
      <w:r w:rsidRPr="00D74FD3">
        <w:rPr>
          <w:rFonts w:eastAsia="Calibri"/>
          <w:b/>
          <w:color w:val="8A6400"/>
          <w:sz w:val="21"/>
          <w:lang w:val="fr-FR"/>
        </w:rPr>
        <w:t>FORMATION — ANALYSE FONDAMENTALE</w:t>
      </w:r>
    </w:p>
    <w:p w14:paraId="7F567FC4" w14:textId="77777777" w:rsidR="005A169D" w:rsidRPr="00D74FD3" w:rsidRDefault="00000000">
      <w:pPr>
        <w:jc w:val="center"/>
        <w:rPr>
          <w:lang w:val="fr-FR"/>
        </w:rPr>
      </w:pPr>
      <w:r w:rsidRPr="00D74FD3">
        <w:rPr>
          <w:rFonts w:eastAsia="Calibri"/>
          <w:b/>
          <w:color w:val="0B2545"/>
          <w:sz w:val="56"/>
          <w:lang w:val="fr-FR"/>
        </w:rPr>
        <w:t>Géopolitique et marchés financiers</w:t>
      </w:r>
    </w:p>
    <w:p w14:paraId="34707A64" w14:textId="77777777" w:rsidR="005A169D" w:rsidRPr="00D74FD3" w:rsidRDefault="00000000">
      <w:pPr>
        <w:spacing w:after="440"/>
        <w:jc w:val="center"/>
        <w:rPr>
          <w:lang w:val="fr-FR"/>
        </w:rPr>
      </w:pPr>
      <w:r w:rsidRPr="00D74FD3">
        <w:rPr>
          <w:rFonts w:eastAsia="Calibri"/>
          <w:b/>
          <w:color w:val="1F4D78"/>
          <w:sz w:val="31"/>
          <w:lang w:val="fr-FR"/>
        </w:rPr>
        <w:t>Pouvoir · ressources · sanctions · conflits · flux de capitaux</w:t>
      </w:r>
    </w:p>
    <w:p w14:paraId="5A140F4A" w14:textId="77777777" w:rsidR="005A169D" w:rsidRPr="00D74FD3" w:rsidRDefault="00000000">
      <w:pPr>
        <w:spacing w:after="1360"/>
        <w:ind w:left="691" w:right="691"/>
        <w:jc w:val="center"/>
        <w:rPr>
          <w:lang w:val="fr-FR"/>
        </w:rPr>
      </w:pPr>
      <w:r w:rsidRPr="00D74FD3">
        <w:rPr>
          <w:rFonts w:eastAsia="Calibri"/>
          <w:i/>
          <w:color w:val="8A6400"/>
          <w:sz w:val="26"/>
          <w:lang w:val="fr-FR"/>
        </w:rPr>
        <w:t>Un événement n'a d'impact durable que s'il modifie un flux réel, une règle, une anticipation ou la capacité des investisseurs à prendre du risque.</w:t>
      </w:r>
    </w:p>
    <w:p w14:paraId="4E9B763B" w14:textId="77777777" w:rsidR="005A169D" w:rsidRPr="00D74FD3" w:rsidRDefault="00000000">
      <w:pPr>
        <w:spacing w:after="100"/>
        <w:jc w:val="center"/>
        <w:rPr>
          <w:lang w:val="fr-FR"/>
        </w:rPr>
      </w:pPr>
      <w:r>
        <w:rPr>
          <w:rFonts w:eastAsia="Calibri"/>
          <w:b/>
          <w:color w:val="667085"/>
          <w:sz w:val="18"/>
          <w:lang w:val="fr-FR"/>
        </w:rPr>
        <w:t>VOLUME 4 · PARTIE 3 · NIVEAU DÉBUTANT · ÉDITION 2026</w:t>
      </w:r>
    </w:p>
    <w:p w14:paraId="3D1381F0" w14:textId="77777777" w:rsidR="005A169D" w:rsidRPr="00D74FD3" w:rsidRDefault="00000000">
      <w:pPr>
        <w:jc w:val="center"/>
        <w:rPr>
          <w:lang w:val="fr-FR"/>
        </w:rPr>
      </w:pPr>
      <w:r>
        <w:rPr>
          <w:rFonts w:eastAsia="Calibri"/>
          <w:i/>
          <w:color w:val="667085"/>
          <w:sz w:val="18"/>
          <w:lang w:val="fr-FR"/>
        </w:rPr>
        <w:t>Dix graphiques TradingView et un schéma pédagogique · cas historiques sourcés</w:t>
      </w:r>
    </w:p>
    <w:p w14:paraId="306C991F" w14:textId="77777777" w:rsidR="005A169D" w:rsidRPr="00D74FD3" w:rsidRDefault="00000000">
      <w:pPr>
        <w:rPr>
          <w:lang w:val="fr-FR"/>
        </w:rPr>
      </w:pPr>
      <w:r w:rsidRPr="00D74FD3">
        <w:rPr>
          <w:lang w:val="fr-FR"/>
        </w:rPr>
        <w:br w:type="page"/>
      </w:r>
    </w:p>
    <w:p w14:paraId="16287B77" w14:textId="77777777" w:rsidR="005A169D" w:rsidRPr="00D74FD3" w:rsidRDefault="00000000">
      <w:pPr>
        <w:pStyle w:val="Titre2"/>
        <w:rPr>
          <w:lang w:val="fr-FR"/>
        </w:rPr>
      </w:pPr>
      <w:r>
        <w:rPr>
          <w:lang w:val="fr-FR"/>
        </w:rPr>
        <w:t>Objectifs de la Partie 3</w:t>
      </w:r>
    </w:p>
    <w:p w14:paraId="5BDBB12A" w14:textId="77777777" w:rsidR="005A169D" w:rsidRPr="00D74FD3" w:rsidRDefault="00000000">
      <w:pPr>
        <w:keepLines/>
        <w:pBdr>
          <w:left w:val="single" w:sz="18" w:space="8" w:color="2E74B5"/>
        </w:pBdr>
        <w:shd w:val="clear" w:color="auto" w:fill="EEF4FA"/>
        <w:spacing w:before="100" w:after="200" w:line="288" w:lineRule="auto"/>
        <w:ind w:left="173" w:right="115"/>
        <w:rPr>
          <w:lang w:val="fr-FR"/>
        </w:rPr>
      </w:pPr>
      <w:r>
        <w:rPr>
          <w:rFonts w:eastAsia="Calibri"/>
          <w:b/>
          <w:color w:val="2E74B5"/>
          <w:sz w:val="20"/>
          <w:lang w:val="fr-FR"/>
        </w:rPr>
        <w:t xml:space="preserve">POSITION DANS LE VOLUME 4  </w:t>
      </w:r>
      <w:r>
        <w:rPr>
          <w:rFonts w:eastAsia="Calibri"/>
          <w:sz w:val="21"/>
          <w:lang w:val="fr-FR"/>
        </w:rPr>
        <w:t>La Partie 1 a expliqué les banques centrales et la transmission monétaire ; la Partie 2, les publications macroéconomiques. Cette Partie 3 ajoute l'origine géopolitique de certains chocs et suit leur passage vers les flux réels, les coûts, les anticipations et les prix.</w:t>
      </w:r>
    </w:p>
    <w:p w14:paraId="2A154A97" w14:textId="77777777" w:rsidR="005A169D" w:rsidRPr="00D74FD3" w:rsidRDefault="00000000">
      <w:pPr>
        <w:numPr>
          <w:ilvl w:val="0"/>
          <w:numId w:val="1"/>
        </w:numPr>
        <w:spacing w:after="80" w:line="300" w:lineRule="auto"/>
        <w:rPr>
          <w:lang w:val="fr-FR"/>
        </w:rPr>
      </w:pPr>
      <w:r w:rsidRPr="00D74FD3">
        <w:rPr>
          <w:rFonts w:eastAsia="Calibri"/>
          <w:color w:val="111111"/>
          <w:lang w:val="fr-FR"/>
        </w:rPr>
        <w:t>Distinguer géopolitique, géoéconomie, risque politique et simple actualité.</w:t>
      </w:r>
    </w:p>
    <w:p w14:paraId="0DDB4BD7" w14:textId="77777777" w:rsidR="005A169D" w:rsidRPr="00D74FD3" w:rsidRDefault="00000000">
      <w:pPr>
        <w:numPr>
          <w:ilvl w:val="0"/>
          <w:numId w:val="1"/>
        </w:numPr>
        <w:spacing w:after="80" w:line="300" w:lineRule="auto"/>
        <w:rPr>
          <w:lang w:val="fr-FR"/>
        </w:rPr>
      </w:pPr>
      <w:r w:rsidRPr="00D74FD3">
        <w:rPr>
          <w:rFonts w:eastAsia="Calibri"/>
          <w:color w:val="111111"/>
          <w:lang w:val="fr-FR"/>
        </w:rPr>
        <w:t>Identifier le canal concret qui relie un événement à l'économie.</w:t>
      </w:r>
    </w:p>
    <w:p w14:paraId="30F9276F" w14:textId="77777777" w:rsidR="005A169D" w:rsidRPr="00D74FD3" w:rsidRDefault="00000000">
      <w:pPr>
        <w:numPr>
          <w:ilvl w:val="0"/>
          <w:numId w:val="1"/>
        </w:numPr>
        <w:spacing w:after="80" w:line="300" w:lineRule="auto"/>
        <w:rPr>
          <w:lang w:val="fr-FR"/>
        </w:rPr>
      </w:pPr>
      <w:r w:rsidRPr="00D74FD3">
        <w:rPr>
          <w:rFonts w:eastAsia="Calibri"/>
          <w:color w:val="111111"/>
          <w:lang w:val="fr-FR"/>
        </w:rPr>
        <w:t>Comprendre les effets des conflits, sanctions, tarifs, embargos, contrôles à l'exportation et blocages maritimes.</w:t>
      </w:r>
    </w:p>
    <w:p w14:paraId="616AAD3B" w14:textId="77777777" w:rsidR="005A169D" w:rsidRPr="00D74FD3" w:rsidRDefault="00000000">
      <w:pPr>
        <w:numPr>
          <w:ilvl w:val="0"/>
          <w:numId w:val="1"/>
        </w:numPr>
        <w:spacing w:after="80" w:line="300" w:lineRule="auto"/>
        <w:rPr>
          <w:lang w:val="fr-FR"/>
        </w:rPr>
      </w:pPr>
      <w:r w:rsidRPr="00D74FD3">
        <w:rPr>
          <w:rFonts w:eastAsia="Calibri"/>
          <w:color w:val="111111"/>
          <w:lang w:val="fr-FR"/>
        </w:rPr>
        <w:t>Lire la réaction des matières premières, devises, obligations, actions, de l'or et du VIX sans appliquer de règle automatique.</w:t>
      </w:r>
    </w:p>
    <w:p w14:paraId="54849D74" w14:textId="77777777" w:rsidR="005A169D" w:rsidRPr="00D74FD3" w:rsidRDefault="00000000">
      <w:pPr>
        <w:numPr>
          <w:ilvl w:val="0"/>
          <w:numId w:val="1"/>
        </w:numPr>
        <w:spacing w:after="80" w:line="300" w:lineRule="auto"/>
        <w:rPr>
          <w:lang w:val="fr-FR"/>
        </w:rPr>
      </w:pPr>
      <w:r w:rsidRPr="00D74FD3">
        <w:rPr>
          <w:rFonts w:eastAsia="Calibri"/>
          <w:color w:val="111111"/>
          <w:lang w:val="fr-FR"/>
        </w:rPr>
        <w:t>Séparer un choc bref d'un changement structurel.</w:t>
      </w:r>
    </w:p>
    <w:p w14:paraId="7E994FFE" w14:textId="77777777" w:rsidR="005A169D" w:rsidRPr="00D74FD3" w:rsidRDefault="00000000">
      <w:pPr>
        <w:numPr>
          <w:ilvl w:val="0"/>
          <w:numId w:val="1"/>
        </w:numPr>
        <w:spacing w:after="80" w:line="300" w:lineRule="auto"/>
        <w:rPr>
          <w:lang w:val="fr-FR"/>
        </w:rPr>
      </w:pPr>
      <w:r w:rsidRPr="00D74FD3">
        <w:rPr>
          <w:rFonts w:eastAsia="Calibri"/>
          <w:color w:val="111111"/>
          <w:lang w:val="fr-FR"/>
        </w:rPr>
        <w:t>Comparer plusieurs actifs afin de vérifier si le marché confirme réellement le récit dominant.</w:t>
      </w:r>
    </w:p>
    <w:p w14:paraId="5A9EAFD8" w14:textId="77777777" w:rsidR="005A169D" w:rsidRPr="00D74FD3" w:rsidRDefault="00000000">
      <w:pPr>
        <w:numPr>
          <w:ilvl w:val="0"/>
          <w:numId w:val="1"/>
        </w:numPr>
        <w:spacing w:after="80" w:line="300" w:lineRule="auto"/>
        <w:rPr>
          <w:lang w:val="fr-FR"/>
        </w:rPr>
      </w:pPr>
      <w:r w:rsidRPr="00D74FD3">
        <w:rPr>
          <w:rFonts w:eastAsia="Calibri"/>
          <w:color w:val="111111"/>
          <w:lang w:val="fr-FR"/>
        </w:rPr>
        <w:t>Construire des scénarios, une invalidation et une taille de risque avant d'agir.</w:t>
      </w:r>
    </w:p>
    <w:p w14:paraId="14CCD2F4" w14:textId="77777777" w:rsidR="005A169D" w:rsidRDefault="00000000">
      <w:pPr>
        <w:pStyle w:val="Titre2"/>
      </w:pPr>
      <w:r>
        <w:t>Parcours de la Partie 3</w:t>
      </w:r>
    </w:p>
    <w:p w14:paraId="10C59A2F" w14:textId="77777777" w:rsidR="005A169D" w:rsidRPr="00D74FD3" w:rsidRDefault="00000000">
      <w:pPr>
        <w:numPr>
          <w:ilvl w:val="0"/>
          <w:numId w:val="1"/>
        </w:numPr>
        <w:spacing w:after="80" w:line="300" w:lineRule="auto"/>
        <w:rPr>
          <w:lang w:val="fr-FR"/>
        </w:rPr>
      </w:pPr>
      <w:r w:rsidRPr="00D74FD3">
        <w:rPr>
          <w:rFonts w:eastAsia="Calibri"/>
          <w:color w:val="111111"/>
          <w:lang w:val="fr-FR"/>
        </w:rPr>
        <w:t>Comprendre la géopolitique et la géoéconomie.</w:t>
      </w:r>
    </w:p>
    <w:p w14:paraId="07B8B1C1" w14:textId="77777777" w:rsidR="005A169D" w:rsidRPr="00D74FD3" w:rsidRDefault="00000000">
      <w:pPr>
        <w:numPr>
          <w:ilvl w:val="0"/>
          <w:numId w:val="1"/>
        </w:numPr>
        <w:spacing w:after="80" w:line="300" w:lineRule="auto"/>
        <w:rPr>
          <w:lang w:val="fr-FR"/>
        </w:rPr>
      </w:pPr>
      <w:r w:rsidRPr="00D74FD3">
        <w:rPr>
          <w:rFonts w:eastAsia="Calibri"/>
          <w:color w:val="111111"/>
          <w:lang w:val="fr-FR"/>
        </w:rPr>
        <w:t>Reconnaître les acteurs, les instruments de puissance et les points de passage stratégiques.</w:t>
      </w:r>
    </w:p>
    <w:p w14:paraId="5387E0D3" w14:textId="77777777" w:rsidR="005A169D" w:rsidRPr="00D74FD3" w:rsidRDefault="00000000">
      <w:pPr>
        <w:numPr>
          <w:ilvl w:val="0"/>
          <w:numId w:val="1"/>
        </w:numPr>
        <w:spacing w:after="80" w:line="300" w:lineRule="auto"/>
        <w:rPr>
          <w:lang w:val="fr-FR"/>
        </w:rPr>
      </w:pPr>
      <w:r w:rsidRPr="00D74FD3">
        <w:rPr>
          <w:rFonts w:eastAsia="Calibri"/>
          <w:color w:val="111111"/>
          <w:lang w:val="fr-FR"/>
        </w:rPr>
        <w:t>Suivre la chaîne de transmission vers l'économie et les marchés.</w:t>
      </w:r>
    </w:p>
    <w:p w14:paraId="1EC8E2D5" w14:textId="77777777" w:rsidR="005A169D" w:rsidRPr="00D74FD3" w:rsidRDefault="00000000">
      <w:pPr>
        <w:numPr>
          <w:ilvl w:val="0"/>
          <w:numId w:val="1"/>
        </w:numPr>
        <w:spacing w:after="80" w:line="300" w:lineRule="auto"/>
        <w:rPr>
          <w:lang w:val="fr-FR"/>
        </w:rPr>
      </w:pPr>
      <w:r w:rsidRPr="00D74FD3">
        <w:rPr>
          <w:rFonts w:eastAsia="Calibri"/>
          <w:color w:val="111111"/>
          <w:lang w:val="fr-FR"/>
        </w:rPr>
        <w:t>Lire chaque grande classe d'actifs.</w:t>
      </w:r>
    </w:p>
    <w:p w14:paraId="1BB2D99A" w14:textId="77777777" w:rsidR="005A169D" w:rsidRPr="00D74FD3" w:rsidRDefault="00000000">
      <w:pPr>
        <w:numPr>
          <w:ilvl w:val="0"/>
          <w:numId w:val="1"/>
        </w:numPr>
        <w:spacing w:after="80" w:line="300" w:lineRule="auto"/>
        <w:rPr>
          <w:lang w:val="fr-FR"/>
        </w:rPr>
      </w:pPr>
      <w:r w:rsidRPr="00D74FD3">
        <w:rPr>
          <w:rFonts w:eastAsia="Calibri"/>
          <w:color w:val="111111"/>
          <w:lang w:val="fr-FR"/>
        </w:rPr>
        <w:t>Étudier six dossiers historiques illustrés par TradingView.</w:t>
      </w:r>
    </w:p>
    <w:p w14:paraId="3752A2B7" w14:textId="77777777" w:rsidR="005A169D" w:rsidRPr="00D74FD3" w:rsidRDefault="00000000">
      <w:pPr>
        <w:numPr>
          <w:ilvl w:val="0"/>
          <w:numId w:val="1"/>
        </w:numPr>
        <w:spacing w:after="80" w:line="300" w:lineRule="auto"/>
        <w:rPr>
          <w:lang w:val="fr-FR"/>
        </w:rPr>
      </w:pPr>
      <w:r w:rsidRPr="00D74FD3">
        <w:rPr>
          <w:rFonts w:eastAsia="Calibri"/>
          <w:color w:val="111111"/>
          <w:lang w:val="fr-FR"/>
        </w:rPr>
        <w:t>Appliquer une méthode de scénario, de vérification et de gestion du risque.</w:t>
      </w:r>
    </w:p>
    <w:p w14:paraId="7839220A" w14:textId="77777777" w:rsidR="005A169D" w:rsidRPr="00D74FD3" w:rsidRDefault="00000000">
      <w:pPr>
        <w:keepLines/>
        <w:pBdr>
          <w:left w:val="single" w:sz="18" w:space="8" w:color="A61B1B"/>
        </w:pBdr>
        <w:shd w:val="clear" w:color="auto" w:fill="FCEDED"/>
        <w:spacing w:before="100" w:after="200" w:line="288" w:lineRule="auto"/>
        <w:ind w:left="173" w:right="115"/>
        <w:rPr>
          <w:lang w:val="fr-FR"/>
        </w:rPr>
      </w:pPr>
      <w:r w:rsidRPr="00D74FD3">
        <w:rPr>
          <w:rFonts w:eastAsia="Calibri"/>
          <w:b/>
          <w:color w:val="A61B1B"/>
          <w:sz w:val="20"/>
          <w:lang w:val="fr-FR"/>
        </w:rPr>
        <w:t xml:space="preserve">RÈGLE CENTRALE  </w:t>
      </w:r>
      <w:r w:rsidRPr="00D74FD3">
        <w:rPr>
          <w:rFonts w:eastAsia="Calibri"/>
          <w:sz w:val="21"/>
          <w:lang w:val="fr-FR"/>
        </w:rPr>
        <w:t>Une guerre n'est pas automatiquement baissière pour toutes les actions. Une sanction n'est pas automatiquement haussière pour le dollar. Un détroit menacé ne fait pas toujours monter durablement le pétrole. Il faut toujours nommer le canal, la durée et la réponse possible.</w:t>
      </w:r>
    </w:p>
    <w:p w14:paraId="070CFAD2" w14:textId="77777777" w:rsidR="005A169D" w:rsidRPr="00D74FD3" w:rsidRDefault="00000000">
      <w:pPr>
        <w:pStyle w:val="Titre1"/>
        <w:keepNext/>
        <w:spacing w:after="140"/>
        <w:rPr>
          <w:lang w:val="fr-FR"/>
        </w:rPr>
      </w:pPr>
      <w:r>
        <w:rPr>
          <w:rFonts w:eastAsia="Calibri"/>
          <w:b/>
          <w:color w:val="0B2545"/>
          <w:sz w:val="48"/>
          <w:lang w:val="fr-FR"/>
        </w:rPr>
        <w:t>1. Comprendre la géopolitique</w:t>
      </w:r>
    </w:p>
    <w:p w14:paraId="17FF01BD" w14:textId="77777777" w:rsidR="005A169D" w:rsidRPr="00D74FD3" w:rsidRDefault="00000000">
      <w:pPr>
        <w:keepNext/>
        <w:spacing w:after="320"/>
        <w:rPr>
          <w:lang w:val="fr-FR"/>
        </w:rPr>
      </w:pPr>
      <w:r w:rsidRPr="00D74FD3">
        <w:rPr>
          <w:rFonts w:eastAsia="Calibri"/>
          <w:i/>
          <w:color w:val="1F4D78"/>
          <w:sz w:val="26"/>
          <w:lang w:val="fr-FR"/>
        </w:rPr>
        <w:t>Étudier les rapports de puissance sans transformer chaque titre d'actualité en signal de trading.</w:t>
      </w:r>
    </w:p>
    <w:p w14:paraId="2CF27306" w14:textId="77777777" w:rsidR="005A169D" w:rsidRPr="00D74FD3" w:rsidRDefault="00000000">
      <w:pPr>
        <w:pStyle w:val="Titre2"/>
        <w:rPr>
          <w:lang w:val="fr-FR"/>
        </w:rPr>
      </w:pPr>
      <w:r w:rsidRPr="00D74FD3">
        <w:rPr>
          <w:lang w:val="fr-FR"/>
        </w:rPr>
        <w:t>1.1 Définition simple</w:t>
      </w:r>
    </w:p>
    <w:p w14:paraId="6C336BF8" w14:textId="77777777" w:rsidR="005A169D" w:rsidRPr="00D74FD3" w:rsidRDefault="00000000">
      <w:pPr>
        <w:rPr>
          <w:lang w:val="fr-FR"/>
        </w:rPr>
      </w:pPr>
      <w:r w:rsidRPr="00D74FD3">
        <w:rPr>
          <w:rFonts w:eastAsia="Calibri"/>
          <w:lang w:val="fr-FR"/>
        </w:rPr>
        <w:t>La géopolitique étudie la manière dont la géographie, les ressources, les frontières, les routes commerciales, la population et la technologie influencent la puissance d'un État et ses relations avec les autres acteurs. Elle ne se limite pas à la guerre : elle inclut aussi les alliances, la diplomatie, l'accès à l'énergie, les chaînes industrielles et la sécurité des infrastructures.</w:t>
      </w:r>
    </w:p>
    <w:p w14:paraId="0BC1EB2E" w14:textId="77777777" w:rsidR="005A169D" w:rsidRPr="00D74FD3" w:rsidRDefault="00000000">
      <w:pPr>
        <w:rPr>
          <w:lang w:val="fr-FR"/>
        </w:rPr>
      </w:pPr>
      <w:r w:rsidRPr="00D74FD3">
        <w:rPr>
          <w:rFonts w:eastAsia="Calibri"/>
          <w:lang w:val="fr-FR"/>
        </w:rPr>
        <w:t>Pour un investisseur, l'objectif n'est pas de juger moralement un événement. Il est de comprendre ce que cet événement peut modifier : un approvisionnement, un coût, un marché d'exportation, une devise, une prime de risque ou une règle juridique.</w:t>
      </w:r>
    </w:p>
    <w:p w14:paraId="2967EE59" w14:textId="77777777" w:rsidR="005A169D" w:rsidRPr="00D74FD3" w:rsidRDefault="00000000">
      <w:pPr>
        <w:pStyle w:val="Titre2"/>
        <w:rPr>
          <w:lang w:val="fr-FR"/>
        </w:rPr>
      </w:pPr>
      <w:r w:rsidRPr="00D74FD3">
        <w:rPr>
          <w:lang w:val="fr-FR"/>
        </w:rPr>
        <w:t>1.2 La géoéconomie</w:t>
      </w:r>
    </w:p>
    <w:p w14:paraId="132F8D5F" w14:textId="77777777" w:rsidR="005A169D" w:rsidRPr="00D74FD3" w:rsidRDefault="00000000">
      <w:pPr>
        <w:rPr>
          <w:lang w:val="fr-FR"/>
        </w:rPr>
      </w:pPr>
      <w:r w:rsidRPr="00D74FD3">
        <w:rPr>
          <w:rFonts w:eastAsia="Calibri"/>
          <w:lang w:val="fr-FR"/>
        </w:rPr>
        <w:t>La géoéconomie apparaît lorsque des moyens économiques servent un objectif stratégique. Un État peut imposer des sanctions, limiter l'exportation d'une technologie, taxer des importations, subventionner une industrie, contrôler les investissements étrangers ou restreindre les mouvements de capitaux. L'économie devient alors un instrument de puissance.</w:t>
      </w:r>
    </w:p>
    <w:p w14:paraId="224F4277" w14:textId="77777777" w:rsidR="005A169D" w:rsidRPr="00D74FD3" w:rsidRDefault="00000000">
      <w:pPr>
        <w:keepLines/>
        <w:pBdr>
          <w:left w:val="single" w:sz="18" w:space="8" w:color="7A3E9D"/>
        </w:pBdr>
        <w:shd w:val="clear" w:color="auto" w:fill="F5ECFA"/>
        <w:spacing w:before="100" w:after="200" w:line="288" w:lineRule="auto"/>
        <w:ind w:left="173" w:right="115"/>
        <w:rPr>
          <w:lang w:val="fr-FR"/>
        </w:rPr>
      </w:pPr>
      <w:r w:rsidRPr="00D74FD3">
        <w:rPr>
          <w:rFonts w:eastAsia="Calibri"/>
          <w:b/>
          <w:color w:val="7A3E9D"/>
          <w:sz w:val="20"/>
          <w:lang w:val="fr-FR"/>
        </w:rPr>
        <w:t xml:space="preserve">EXEMPLE  </w:t>
      </w:r>
      <w:r w:rsidRPr="00D74FD3">
        <w:rPr>
          <w:rFonts w:eastAsia="Calibri"/>
          <w:sz w:val="21"/>
          <w:lang w:val="fr-FR"/>
        </w:rPr>
        <w:t>Un contrôle sur l'exportation de puces avancées n'est pas seulement une décision commerciale. Il cherche aussi à ralentir l'accès d'un rival à des capacités de calcul utiles à l'intelligence artificielle, à l'industrie et à la défense.</w:t>
      </w:r>
    </w:p>
    <w:p w14:paraId="55B5979C" w14:textId="77777777" w:rsidR="005A169D" w:rsidRPr="00D74FD3" w:rsidRDefault="00000000">
      <w:pPr>
        <w:pStyle w:val="Titre2"/>
        <w:rPr>
          <w:lang w:val="fr-FR"/>
        </w:rPr>
      </w:pPr>
      <w:r w:rsidRPr="00D74FD3">
        <w:rPr>
          <w:lang w:val="fr-FR"/>
        </w:rPr>
        <w:t>1.3 Quatre notions à ne pas confondre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850"/>
        <w:gridCol w:w="3760"/>
        <w:gridCol w:w="3750"/>
      </w:tblGrid>
      <w:tr w:rsidR="005A169D" w14:paraId="03858F6C" w14:textId="77777777">
        <w:trPr>
          <w:cantSplit/>
          <w:tblHeader/>
        </w:trPr>
        <w:tc>
          <w:tcPr>
            <w:tcW w:w="1850" w:type="dxa"/>
            <w:shd w:val="clear" w:color="auto" w:fill="F4F6F9"/>
            <w:tcMar>
              <w:top w:w="80" w:type="dxa"/>
              <w:left w:w="120" w:type="dxa"/>
              <w:bottom w:w="80" w:type="dxa"/>
              <w:right w:w="120" w:type="dxa"/>
            </w:tcMar>
            <w:vAlign w:val="center"/>
          </w:tcPr>
          <w:p w14:paraId="32862758" w14:textId="77777777" w:rsidR="005A169D" w:rsidRDefault="00000000">
            <w:pPr>
              <w:keepNext/>
              <w:spacing w:after="0" w:line="283" w:lineRule="auto"/>
              <w:jc w:val="left"/>
            </w:pPr>
            <w:r>
              <w:rPr>
                <w:rFonts w:eastAsia="Calibri"/>
                <w:b/>
                <w:color w:val="0B2545"/>
                <w:sz w:val="19"/>
              </w:rPr>
              <w:t>Notion</w:t>
            </w:r>
          </w:p>
        </w:tc>
        <w:tc>
          <w:tcPr>
            <w:tcW w:w="3760" w:type="dxa"/>
            <w:shd w:val="clear" w:color="auto" w:fill="F4F6F9"/>
            <w:tcMar>
              <w:top w:w="80" w:type="dxa"/>
              <w:left w:w="120" w:type="dxa"/>
              <w:bottom w:w="80" w:type="dxa"/>
              <w:right w:w="120" w:type="dxa"/>
            </w:tcMar>
            <w:vAlign w:val="center"/>
          </w:tcPr>
          <w:p w14:paraId="5FA0357B" w14:textId="77777777" w:rsidR="005A169D" w:rsidRDefault="00000000">
            <w:pPr>
              <w:keepNext/>
              <w:spacing w:after="0" w:line="283" w:lineRule="auto"/>
              <w:jc w:val="left"/>
            </w:pPr>
            <w:r>
              <w:rPr>
                <w:rFonts w:eastAsia="Calibri"/>
                <w:b/>
                <w:color w:val="0B2545"/>
                <w:sz w:val="19"/>
              </w:rPr>
              <w:t>Question centrale</w:t>
            </w:r>
          </w:p>
        </w:tc>
        <w:tc>
          <w:tcPr>
            <w:tcW w:w="3750" w:type="dxa"/>
            <w:shd w:val="clear" w:color="auto" w:fill="F4F6F9"/>
            <w:tcMar>
              <w:top w:w="80" w:type="dxa"/>
              <w:left w:w="120" w:type="dxa"/>
              <w:bottom w:w="80" w:type="dxa"/>
              <w:right w:w="120" w:type="dxa"/>
            </w:tcMar>
            <w:vAlign w:val="center"/>
          </w:tcPr>
          <w:p w14:paraId="203099B6" w14:textId="77777777" w:rsidR="005A169D" w:rsidRDefault="00000000">
            <w:pPr>
              <w:keepNext/>
              <w:spacing w:after="0" w:line="283" w:lineRule="auto"/>
              <w:jc w:val="left"/>
            </w:pPr>
            <w:r>
              <w:rPr>
                <w:rFonts w:eastAsia="Calibri"/>
                <w:b/>
                <w:color w:val="0B2545"/>
                <w:sz w:val="19"/>
              </w:rPr>
              <w:t>Exemple</w:t>
            </w:r>
          </w:p>
        </w:tc>
      </w:tr>
      <w:tr w:rsidR="005A169D" w14:paraId="64A621D9" w14:textId="77777777">
        <w:trPr>
          <w:cantSplit/>
        </w:trPr>
        <w:tc>
          <w:tcPr>
            <w:tcW w:w="1850" w:type="dxa"/>
            <w:tcMar>
              <w:top w:w="80" w:type="dxa"/>
              <w:left w:w="120" w:type="dxa"/>
              <w:bottom w:w="80" w:type="dxa"/>
              <w:right w:w="120" w:type="dxa"/>
            </w:tcMar>
            <w:vAlign w:val="center"/>
          </w:tcPr>
          <w:p w14:paraId="35DBCD78" w14:textId="77777777" w:rsidR="005A169D" w:rsidRDefault="00000000">
            <w:pPr>
              <w:keepNext/>
              <w:spacing w:after="0" w:line="283" w:lineRule="auto"/>
              <w:jc w:val="left"/>
            </w:pPr>
            <w:r>
              <w:rPr>
                <w:rFonts w:eastAsia="Calibri"/>
                <w:sz w:val="19"/>
              </w:rPr>
              <w:t>Géopolitique</w:t>
            </w:r>
          </w:p>
        </w:tc>
        <w:tc>
          <w:tcPr>
            <w:tcW w:w="3760" w:type="dxa"/>
            <w:tcMar>
              <w:top w:w="80" w:type="dxa"/>
              <w:left w:w="120" w:type="dxa"/>
              <w:bottom w:w="80" w:type="dxa"/>
              <w:right w:w="120" w:type="dxa"/>
            </w:tcMar>
            <w:vAlign w:val="center"/>
          </w:tcPr>
          <w:p w14:paraId="4C664704" w14:textId="77777777" w:rsidR="005A169D" w:rsidRPr="00D74FD3" w:rsidRDefault="00000000">
            <w:pPr>
              <w:keepNext/>
              <w:spacing w:after="0" w:line="283" w:lineRule="auto"/>
              <w:jc w:val="left"/>
              <w:rPr>
                <w:lang w:val="fr-FR"/>
              </w:rPr>
            </w:pPr>
            <w:r w:rsidRPr="00D74FD3">
              <w:rPr>
                <w:rFonts w:eastAsia="Calibri"/>
                <w:sz w:val="19"/>
                <w:lang w:val="fr-FR"/>
              </w:rPr>
              <w:t>Comment l'espace et la puissance orientent-ils les décisions ?</w:t>
            </w:r>
          </w:p>
        </w:tc>
        <w:tc>
          <w:tcPr>
            <w:tcW w:w="3750" w:type="dxa"/>
            <w:tcMar>
              <w:top w:w="80" w:type="dxa"/>
              <w:left w:w="120" w:type="dxa"/>
              <w:bottom w:w="80" w:type="dxa"/>
              <w:right w:w="120" w:type="dxa"/>
            </w:tcMar>
            <w:vAlign w:val="center"/>
          </w:tcPr>
          <w:p w14:paraId="0ABF36CE" w14:textId="77777777" w:rsidR="005A169D" w:rsidRDefault="00000000">
            <w:pPr>
              <w:keepNext/>
              <w:spacing w:after="0" w:line="283" w:lineRule="auto"/>
              <w:jc w:val="left"/>
            </w:pPr>
            <w:r>
              <w:rPr>
                <w:rFonts w:eastAsia="Calibri"/>
                <w:sz w:val="19"/>
              </w:rPr>
              <w:t>Contrôle d'un détroit maritime.</w:t>
            </w:r>
          </w:p>
        </w:tc>
      </w:tr>
      <w:tr w:rsidR="005A169D" w:rsidRPr="00D74FD3" w14:paraId="5C2F91CB" w14:textId="77777777">
        <w:trPr>
          <w:cantSplit/>
        </w:trPr>
        <w:tc>
          <w:tcPr>
            <w:tcW w:w="1850" w:type="dxa"/>
            <w:shd w:val="clear" w:color="auto" w:fill="FAFBFC"/>
            <w:tcMar>
              <w:top w:w="80" w:type="dxa"/>
              <w:left w:w="120" w:type="dxa"/>
              <w:bottom w:w="80" w:type="dxa"/>
              <w:right w:w="120" w:type="dxa"/>
            </w:tcMar>
            <w:vAlign w:val="center"/>
          </w:tcPr>
          <w:p w14:paraId="546D77B1" w14:textId="77777777" w:rsidR="005A169D" w:rsidRDefault="00000000">
            <w:pPr>
              <w:keepNext/>
              <w:spacing w:after="0" w:line="283" w:lineRule="auto"/>
              <w:jc w:val="left"/>
            </w:pPr>
            <w:r>
              <w:rPr>
                <w:rFonts w:eastAsia="Calibri"/>
                <w:sz w:val="19"/>
              </w:rPr>
              <w:t>Géoéconomie</w:t>
            </w:r>
          </w:p>
        </w:tc>
        <w:tc>
          <w:tcPr>
            <w:tcW w:w="3760" w:type="dxa"/>
            <w:shd w:val="clear" w:color="auto" w:fill="FAFBFC"/>
            <w:tcMar>
              <w:top w:w="80" w:type="dxa"/>
              <w:left w:w="120" w:type="dxa"/>
              <w:bottom w:w="80" w:type="dxa"/>
              <w:right w:w="120" w:type="dxa"/>
            </w:tcMar>
            <w:vAlign w:val="center"/>
          </w:tcPr>
          <w:p w14:paraId="0695B6CB" w14:textId="77777777" w:rsidR="005A169D" w:rsidRPr="00D74FD3" w:rsidRDefault="00000000">
            <w:pPr>
              <w:keepNext/>
              <w:spacing w:after="0" w:line="283" w:lineRule="auto"/>
              <w:jc w:val="left"/>
              <w:rPr>
                <w:lang w:val="fr-FR"/>
              </w:rPr>
            </w:pPr>
            <w:r w:rsidRPr="00D74FD3">
              <w:rPr>
                <w:rFonts w:eastAsia="Calibri"/>
                <w:sz w:val="19"/>
                <w:lang w:val="fr-FR"/>
              </w:rPr>
              <w:t>Comment l'économie devient-elle un outil stratégique ?</w:t>
            </w:r>
          </w:p>
        </w:tc>
        <w:tc>
          <w:tcPr>
            <w:tcW w:w="3750" w:type="dxa"/>
            <w:shd w:val="clear" w:color="auto" w:fill="FAFBFC"/>
            <w:tcMar>
              <w:top w:w="80" w:type="dxa"/>
              <w:left w:w="120" w:type="dxa"/>
              <w:bottom w:w="80" w:type="dxa"/>
              <w:right w:w="120" w:type="dxa"/>
            </w:tcMar>
            <w:vAlign w:val="center"/>
          </w:tcPr>
          <w:p w14:paraId="38923608" w14:textId="77777777" w:rsidR="005A169D" w:rsidRPr="00D74FD3" w:rsidRDefault="00000000">
            <w:pPr>
              <w:keepNext/>
              <w:spacing w:after="0" w:line="283" w:lineRule="auto"/>
              <w:jc w:val="left"/>
              <w:rPr>
                <w:lang w:val="fr-FR"/>
              </w:rPr>
            </w:pPr>
            <w:r w:rsidRPr="00D74FD3">
              <w:rPr>
                <w:rFonts w:eastAsia="Calibri"/>
                <w:sz w:val="19"/>
                <w:lang w:val="fr-FR"/>
              </w:rPr>
              <w:t>Sanctions, tarifs ou contrôle des puces.</w:t>
            </w:r>
          </w:p>
        </w:tc>
      </w:tr>
      <w:tr w:rsidR="005A169D" w14:paraId="111967C2" w14:textId="77777777">
        <w:trPr>
          <w:cantSplit/>
        </w:trPr>
        <w:tc>
          <w:tcPr>
            <w:tcW w:w="1850" w:type="dxa"/>
            <w:tcMar>
              <w:top w:w="80" w:type="dxa"/>
              <w:left w:w="120" w:type="dxa"/>
              <w:bottom w:w="80" w:type="dxa"/>
              <w:right w:w="120" w:type="dxa"/>
            </w:tcMar>
            <w:vAlign w:val="center"/>
          </w:tcPr>
          <w:p w14:paraId="27F8FE20" w14:textId="77777777" w:rsidR="005A169D" w:rsidRDefault="00000000">
            <w:pPr>
              <w:keepNext/>
              <w:spacing w:after="0" w:line="283" w:lineRule="auto"/>
              <w:jc w:val="left"/>
            </w:pPr>
            <w:r>
              <w:rPr>
                <w:rFonts w:eastAsia="Calibri"/>
                <w:sz w:val="19"/>
              </w:rPr>
              <w:t>Risque politique</w:t>
            </w:r>
          </w:p>
        </w:tc>
        <w:tc>
          <w:tcPr>
            <w:tcW w:w="3760" w:type="dxa"/>
            <w:tcMar>
              <w:top w:w="80" w:type="dxa"/>
              <w:left w:w="120" w:type="dxa"/>
              <w:bottom w:w="80" w:type="dxa"/>
              <w:right w:w="120" w:type="dxa"/>
            </w:tcMar>
            <w:vAlign w:val="center"/>
          </w:tcPr>
          <w:p w14:paraId="1639E240" w14:textId="77777777" w:rsidR="005A169D" w:rsidRPr="00D74FD3" w:rsidRDefault="00000000">
            <w:pPr>
              <w:keepNext/>
              <w:spacing w:after="0" w:line="283" w:lineRule="auto"/>
              <w:jc w:val="left"/>
              <w:rPr>
                <w:lang w:val="fr-FR"/>
              </w:rPr>
            </w:pPr>
            <w:r w:rsidRPr="00D74FD3">
              <w:rPr>
                <w:rFonts w:eastAsia="Calibri"/>
                <w:sz w:val="19"/>
                <w:lang w:val="fr-FR"/>
              </w:rPr>
              <w:t>Une décision intérieure peut-elle modifier la valeur d'un actif ?</w:t>
            </w:r>
          </w:p>
        </w:tc>
        <w:tc>
          <w:tcPr>
            <w:tcW w:w="3750" w:type="dxa"/>
            <w:tcMar>
              <w:top w:w="80" w:type="dxa"/>
              <w:left w:w="120" w:type="dxa"/>
              <w:bottom w:w="80" w:type="dxa"/>
              <w:right w:w="120" w:type="dxa"/>
            </w:tcMar>
            <w:vAlign w:val="center"/>
          </w:tcPr>
          <w:p w14:paraId="45A975CF" w14:textId="77777777" w:rsidR="005A169D" w:rsidRDefault="00000000">
            <w:pPr>
              <w:keepNext/>
              <w:spacing w:after="0" w:line="283" w:lineRule="auto"/>
              <w:jc w:val="left"/>
            </w:pPr>
            <w:r>
              <w:rPr>
                <w:rFonts w:eastAsia="Calibri"/>
                <w:sz w:val="19"/>
              </w:rPr>
              <w:t>Élection, fiscalité ou nationalisation.</w:t>
            </w:r>
          </w:p>
        </w:tc>
      </w:tr>
      <w:tr w:rsidR="005A169D" w:rsidRPr="00D74FD3" w14:paraId="6CA663DE" w14:textId="77777777">
        <w:trPr>
          <w:cantSplit/>
        </w:trPr>
        <w:tc>
          <w:tcPr>
            <w:tcW w:w="1850" w:type="dxa"/>
            <w:shd w:val="clear" w:color="auto" w:fill="FAFBFC"/>
            <w:tcMar>
              <w:top w:w="80" w:type="dxa"/>
              <w:left w:w="120" w:type="dxa"/>
              <w:bottom w:w="80" w:type="dxa"/>
              <w:right w:w="120" w:type="dxa"/>
            </w:tcMar>
            <w:vAlign w:val="center"/>
          </w:tcPr>
          <w:p w14:paraId="16AE43FD" w14:textId="77777777" w:rsidR="005A169D" w:rsidRDefault="00000000">
            <w:pPr>
              <w:spacing w:after="0" w:line="283" w:lineRule="auto"/>
              <w:jc w:val="left"/>
            </w:pPr>
            <w:r>
              <w:rPr>
                <w:rFonts w:eastAsia="Calibri"/>
                <w:sz w:val="19"/>
              </w:rPr>
              <w:t>Risque pays</w:t>
            </w:r>
          </w:p>
        </w:tc>
        <w:tc>
          <w:tcPr>
            <w:tcW w:w="3760" w:type="dxa"/>
            <w:shd w:val="clear" w:color="auto" w:fill="FAFBFC"/>
            <w:tcMar>
              <w:top w:w="80" w:type="dxa"/>
              <w:left w:w="120" w:type="dxa"/>
              <w:bottom w:w="80" w:type="dxa"/>
              <w:right w:w="120" w:type="dxa"/>
            </w:tcMar>
            <w:vAlign w:val="center"/>
          </w:tcPr>
          <w:p w14:paraId="3672F177" w14:textId="77777777" w:rsidR="005A169D" w:rsidRPr="00D74FD3" w:rsidRDefault="00000000">
            <w:pPr>
              <w:spacing w:after="0" w:line="283" w:lineRule="auto"/>
              <w:jc w:val="left"/>
              <w:rPr>
                <w:lang w:val="fr-FR"/>
              </w:rPr>
            </w:pPr>
            <w:r w:rsidRPr="00D74FD3">
              <w:rPr>
                <w:rFonts w:eastAsia="Calibri"/>
                <w:sz w:val="19"/>
                <w:lang w:val="fr-FR"/>
              </w:rPr>
              <w:t>L'État, la devise ou le système financier peuvent-ils empêcher le paiement ?</w:t>
            </w:r>
          </w:p>
        </w:tc>
        <w:tc>
          <w:tcPr>
            <w:tcW w:w="3750" w:type="dxa"/>
            <w:shd w:val="clear" w:color="auto" w:fill="FAFBFC"/>
            <w:tcMar>
              <w:top w:w="80" w:type="dxa"/>
              <w:left w:w="120" w:type="dxa"/>
              <w:bottom w:w="80" w:type="dxa"/>
              <w:right w:w="120" w:type="dxa"/>
            </w:tcMar>
            <w:vAlign w:val="center"/>
          </w:tcPr>
          <w:p w14:paraId="72A630AD" w14:textId="77777777" w:rsidR="005A169D" w:rsidRPr="00D74FD3" w:rsidRDefault="00000000">
            <w:pPr>
              <w:spacing w:after="0" w:line="283" w:lineRule="auto"/>
              <w:jc w:val="left"/>
              <w:rPr>
                <w:lang w:val="fr-FR"/>
              </w:rPr>
            </w:pPr>
            <w:r w:rsidRPr="00D74FD3">
              <w:rPr>
                <w:rFonts w:eastAsia="Calibri"/>
                <w:sz w:val="19"/>
                <w:lang w:val="fr-FR"/>
              </w:rPr>
              <w:t>Contrôle des capitaux ou défaut souverain.</w:t>
            </w:r>
          </w:p>
        </w:tc>
      </w:tr>
    </w:tbl>
    <w:p w14:paraId="465221C7" w14:textId="77777777" w:rsidR="005A169D" w:rsidRPr="00D74FD3" w:rsidRDefault="005A169D">
      <w:pPr>
        <w:spacing w:after="100"/>
        <w:rPr>
          <w:lang w:val="fr-FR"/>
        </w:rPr>
      </w:pPr>
    </w:p>
    <w:p w14:paraId="57E698F2" w14:textId="77777777" w:rsidR="005A169D" w:rsidRPr="00D74FD3" w:rsidRDefault="00000000">
      <w:pPr>
        <w:pStyle w:val="Titre2"/>
        <w:rPr>
          <w:lang w:val="fr-FR"/>
        </w:rPr>
      </w:pPr>
      <w:r w:rsidRPr="00D74FD3">
        <w:rPr>
          <w:lang w:val="fr-FR"/>
        </w:rPr>
        <w:t>1.4 Une nouvelle n'est pas encore un scénario</w:t>
      </w:r>
    </w:p>
    <w:p w14:paraId="44866AF5" w14:textId="77777777" w:rsidR="005A169D" w:rsidRPr="00D74FD3" w:rsidRDefault="00000000">
      <w:pPr>
        <w:rPr>
          <w:lang w:val="fr-FR"/>
        </w:rPr>
      </w:pPr>
      <w:r w:rsidRPr="00D74FD3">
        <w:rPr>
          <w:rFonts w:eastAsia="Calibri"/>
          <w:lang w:val="fr-FR"/>
        </w:rPr>
        <w:t>Une information devient exploitable seulement lorsque l'on sait ce qu'elle change. L'annonce d'une tension diplomatique peut rester symbolique. Une fermeture d'oléoduc, au contraire, réduit immédiatement une offre physique. Deux titres tout aussi spectaculaires peuvent donc produire des réactions opposées.</w:t>
      </w:r>
    </w:p>
    <w:p w14:paraId="73C21A2F" w14:textId="77777777" w:rsidR="005A169D" w:rsidRPr="00D74FD3" w:rsidRDefault="00000000">
      <w:pPr>
        <w:numPr>
          <w:ilvl w:val="0"/>
          <w:numId w:val="1"/>
        </w:numPr>
        <w:spacing w:after="80" w:line="300" w:lineRule="auto"/>
        <w:rPr>
          <w:lang w:val="fr-FR"/>
        </w:rPr>
      </w:pPr>
      <w:r w:rsidRPr="00D74FD3">
        <w:rPr>
          <w:rFonts w:eastAsia="Calibri"/>
          <w:color w:val="111111"/>
          <w:lang w:val="fr-FR"/>
        </w:rPr>
        <w:t>Le fait : ce qui est confirmé par une source fiable.</w:t>
      </w:r>
    </w:p>
    <w:p w14:paraId="78736D77" w14:textId="77777777" w:rsidR="005A169D" w:rsidRPr="00D74FD3" w:rsidRDefault="00000000">
      <w:pPr>
        <w:numPr>
          <w:ilvl w:val="0"/>
          <w:numId w:val="1"/>
        </w:numPr>
        <w:spacing w:after="80" w:line="300" w:lineRule="auto"/>
        <w:rPr>
          <w:lang w:val="fr-FR"/>
        </w:rPr>
      </w:pPr>
      <w:r w:rsidRPr="00D74FD3">
        <w:rPr>
          <w:rFonts w:eastAsia="Calibri"/>
          <w:color w:val="111111"/>
          <w:lang w:val="fr-FR"/>
        </w:rPr>
        <w:t>Le mécanisme : le flux, la règle ou l'anticipation réellement modifiés.</w:t>
      </w:r>
    </w:p>
    <w:p w14:paraId="7F3B59C0" w14:textId="77777777" w:rsidR="005A169D" w:rsidRPr="00D74FD3" w:rsidRDefault="00000000">
      <w:pPr>
        <w:numPr>
          <w:ilvl w:val="0"/>
          <w:numId w:val="1"/>
        </w:numPr>
        <w:spacing w:after="80" w:line="300" w:lineRule="auto"/>
        <w:rPr>
          <w:lang w:val="fr-FR"/>
        </w:rPr>
      </w:pPr>
      <w:r w:rsidRPr="00D74FD3">
        <w:rPr>
          <w:rFonts w:eastAsia="Calibri"/>
          <w:color w:val="111111"/>
          <w:lang w:val="fr-FR"/>
        </w:rPr>
        <w:t>Le scénario : la conséquence probable, avec une durée et une condition d'invalidation.</w:t>
      </w:r>
    </w:p>
    <w:p w14:paraId="22EF0DC4" w14:textId="77777777" w:rsidR="005A169D" w:rsidRPr="00D74FD3" w:rsidRDefault="00000000">
      <w:pPr>
        <w:numPr>
          <w:ilvl w:val="0"/>
          <w:numId w:val="1"/>
        </w:numPr>
        <w:spacing w:after="80" w:line="300" w:lineRule="auto"/>
        <w:rPr>
          <w:lang w:val="fr-FR"/>
        </w:rPr>
      </w:pPr>
      <w:r w:rsidRPr="00D74FD3">
        <w:rPr>
          <w:rFonts w:eastAsia="Calibri"/>
          <w:color w:val="111111"/>
          <w:lang w:val="fr-FR"/>
        </w:rPr>
        <w:t>Le prix : ce que le marché avait déjà anticipé avant la nouvelle.</w:t>
      </w:r>
    </w:p>
    <w:p w14:paraId="47EFEB26" w14:textId="77777777" w:rsidR="005A169D" w:rsidRPr="00D74FD3" w:rsidRDefault="00000000">
      <w:pPr>
        <w:keepLines/>
        <w:pBdr>
          <w:left w:val="single" w:sz="18" w:space="8" w:color="8A6400"/>
        </w:pBdr>
        <w:shd w:val="clear" w:color="auto" w:fill="FFF7DD"/>
        <w:spacing w:before="100" w:after="200" w:line="288" w:lineRule="auto"/>
        <w:ind w:left="173" w:right="115"/>
        <w:rPr>
          <w:lang w:val="fr-FR"/>
        </w:rPr>
      </w:pPr>
      <w:r w:rsidRPr="00D74FD3">
        <w:rPr>
          <w:rFonts w:eastAsia="Calibri"/>
          <w:b/>
          <w:color w:val="8A6400"/>
          <w:sz w:val="20"/>
          <w:lang w:val="fr-FR"/>
        </w:rPr>
        <w:t xml:space="preserve">À MÉMORISER  </w:t>
      </w:r>
      <w:r w:rsidRPr="00D74FD3">
        <w:rPr>
          <w:rFonts w:eastAsia="Calibri"/>
          <w:sz w:val="21"/>
          <w:lang w:val="fr-FR"/>
        </w:rPr>
        <w:t>Le marché ne rémunère pas celui qui connaît le plus de nouvelles. Il rémunère parfois celui qui identifie plus vite la conséquence économique qui n'était pas encore intégrée dans les prix.</w:t>
      </w:r>
    </w:p>
    <w:p w14:paraId="5A1CED91" w14:textId="77777777" w:rsidR="005A169D" w:rsidRDefault="00000000">
      <w:pPr>
        <w:spacing w:before="40" w:after="100"/>
        <w:jc w:val="center"/>
      </w:pPr>
      <w:r>
        <w:rPr>
          <w:rFonts w:eastAsia="Calibri"/>
          <w:i/>
          <w:color w:val="667085"/>
          <w:sz w:val="17"/>
        </w:rPr>
        <w:t xml:space="preserve">Sources : </w:t>
      </w:r>
      <w:hyperlink r:id="rId8">
        <w:r>
          <w:rPr>
            <w:color w:val="2E74B5"/>
            <w:u w:val="single"/>
          </w:rPr>
          <w:t>FMI — Geopolitical Risks: Implications for Asset Prices and Financial Stability, 2025</w:t>
        </w:r>
      </w:hyperlink>
      <w:r>
        <w:rPr>
          <w:rFonts w:eastAsia="Calibri"/>
          <w:color w:val="667085"/>
          <w:sz w:val="17"/>
        </w:rPr>
        <w:t xml:space="preserve"> · </w:t>
      </w:r>
      <w:hyperlink r:id="rId9">
        <w:r>
          <w:rPr>
            <w:color w:val="2E74B5"/>
            <w:u w:val="single"/>
          </w:rPr>
          <w:t>FMI — Geopolitics and its Impact on Global Trade and the Dollar, 2024</w:t>
        </w:r>
      </w:hyperlink>
    </w:p>
    <w:p w14:paraId="0699BB2A" w14:textId="77777777" w:rsidR="005A169D" w:rsidRPr="00D74FD3" w:rsidRDefault="00000000">
      <w:pPr>
        <w:pStyle w:val="Titre1"/>
        <w:keepNext/>
        <w:spacing w:after="140"/>
        <w:rPr>
          <w:lang w:val="fr-FR"/>
        </w:rPr>
      </w:pPr>
      <w:r>
        <w:rPr>
          <w:rFonts w:eastAsia="Calibri"/>
          <w:b/>
          <w:color w:val="0B2545"/>
          <w:sz w:val="48"/>
          <w:lang w:val="fr-FR"/>
        </w:rPr>
        <w:t>2. Acteurs, ressources et instruments</w:t>
      </w:r>
    </w:p>
    <w:p w14:paraId="52ADF0BB" w14:textId="77777777" w:rsidR="005A169D" w:rsidRPr="00D74FD3" w:rsidRDefault="00000000">
      <w:pPr>
        <w:keepNext/>
        <w:spacing w:after="320"/>
        <w:rPr>
          <w:lang w:val="fr-FR"/>
        </w:rPr>
      </w:pPr>
      <w:r w:rsidRPr="00D74FD3">
        <w:rPr>
          <w:rFonts w:eastAsia="Calibri"/>
          <w:i/>
          <w:color w:val="1F4D78"/>
          <w:sz w:val="26"/>
          <w:lang w:val="fr-FR"/>
        </w:rPr>
        <w:t>Comprendre qui agit, avec quel moyen, contre quelle dépendance.</w:t>
      </w:r>
    </w:p>
    <w:p w14:paraId="75F911CB" w14:textId="77777777" w:rsidR="005A169D" w:rsidRDefault="00000000">
      <w:pPr>
        <w:pStyle w:val="Titre2"/>
      </w:pPr>
      <w:r>
        <w:t>2.1 Les principaux acteurs</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650"/>
        <w:gridCol w:w="3950"/>
        <w:gridCol w:w="3760"/>
      </w:tblGrid>
      <w:tr w:rsidR="005A169D" w:rsidRPr="00D74FD3" w14:paraId="3302DA12" w14:textId="77777777">
        <w:trPr>
          <w:cantSplit/>
          <w:tblHeader/>
        </w:trPr>
        <w:tc>
          <w:tcPr>
            <w:tcW w:w="1650" w:type="dxa"/>
            <w:shd w:val="clear" w:color="auto" w:fill="F4F6F9"/>
            <w:tcMar>
              <w:top w:w="80" w:type="dxa"/>
              <w:left w:w="120" w:type="dxa"/>
              <w:bottom w:w="80" w:type="dxa"/>
              <w:right w:w="120" w:type="dxa"/>
            </w:tcMar>
            <w:vAlign w:val="center"/>
          </w:tcPr>
          <w:p w14:paraId="6F2C8D1B" w14:textId="77777777" w:rsidR="005A169D" w:rsidRDefault="00000000">
            <w:pPr>
              <w:keepNext/>
              <w:spacing w:after="0" w:line="283" w:lineRule="auto"/>
              <w:jc w:val="left"/>
            </w:pPr>
            <w:r>
              <w:rPr>
                <w:rFonts w:eastAsia="Calibri"/>
                <w:b/>
                <w:color w:val="0B2545"/>
                <w:sz w:val="19"/>
              </w:rPr>
              <w:t>Acteur</w:t>
            </w:r>
          </w:p>
        </w:tc>
        <w:tc>
          <w:tcPr>
            <w:tcW w:w="3950" w:type="dxa"/>
            <w:shd w:val="clear" w:color="auto" w:fill="F4F6F9"/>
            <w:tcMar>
              <w:top w:w="80" w:type="dxa"/>
              <w:left w:w="120" w:type="dxa"/>
              <w:bottom w:w="80" w:type="dxa"/>
              <w:right w:w="120" w:type="dxa"/>
            </w:tcMar>
            <w:vAlign w:val="center"/>
          </w:tcPr>
          <w:p w14:paraId="1B2E4876" w14:textId="77777777" w:rsidR="005A169D" w:rsidRDefault="00000000">
            <w:pPr>
              <w:keepNext/>
              <w:spacing w:after="0" w:line="283" w:lineRule="auto"/>
              <w:jc w:val="left"/>
            </w:pPr>
            <w:r>
              <w:rPr>
                <w:rFonts w:eastAsia="Calibri"/>
                <w:b/>
                <w:color w:val="0B2545"/>
                <w:sz w:val="19"/>
              </w:rPr>
              <w:t>Pouvoir principal</w:t>
            </w:r>
          </w:p>
        </w:tc>
        <w:tc>
          <w:tcPr>
            <w:tcW w:w="3760" w:type="dxa"/>
            <w:shd w:val="clear" w:color="auto" w:fill="F4F6F9"/>
            <w:tcMar>
              <w:top w:w="80" w:type="dxa"/>
              <w:left w:w="120" w:type="dxa"/>
              <w:bottom w:w="80" w:type="dxa"/>
              <w:right w:w="120" w:type="dxa"/>
            </w:tcMar>
            <w:vAlign w:val="center"/>
          </w:tcPr>
          <w:p w14:paraId="599E8FE3" w14:textId="77777777" w:rsidR="005A169D" w:rsidRPr="00D74FD3" w:rsidRDefault="00000000">
            <w:pPr>
              <w:keepNext/>
              <w:spacing w:after="0" w:line="283" w:lineRule="auto"/>
              <w:jc w:val="left"/>
              <w:rPr>
                <w:lang w:val="fr-FR"/>
              </w:rPr>
            </w:pPr>
            <w:r w:rsidRPr="00D74FD3">
              <w:rPr>
                <w:rFonts w:eastAsia="Calibri"/>
                <w:b/>
                <w:color w:val="0B2545"/>
                <w:sz w:val="19"/>
                <w:lang w:val="fr-FR"/>
              </w:rPr>
              <w:t>Ce que le marché surveille</w:t>
            </w:r>
          </w:p>
        </w:tc>
      </w:tr>
      <w:tr w:rsidR="005A169D" w:rsidRPr="00D74FD3" w14:paraId="1019FF8E" w14:textId="77777777">
        <w:trPr>
          <w:cantSplit/>
        </w:trPr>
        <w:tc>
          <w:tcPr>
            <w:tcW w:w="1650" w:type="dxa"/>
            <w:tcMar>
              <w:top w:w="80" w:type="dxa"/>
              <w:left w:w="120" w:type="dxa"/>
              <w:bottom w:w="80" w:type="dxa"/>
              <w:right w:w="120" w:type="dxa"/>
            </w:tcMar>
            <w:vAlign w:val="center"/>
          </w:tcPr>
          <w:p w14:paraId="0F74BFE1" w14:textId="77777777" w:rsidR="005A169D" w:rsidRDefault="00000000">
            <w:pPr>
              <w:keepNext/>
              <w:spacing w:after="0" w:line="283" w:lineRule="auto"/>
              <w:jc w:val="left"/>
            </w:pPr>
            <w:r>
              <w:rPr>
                <w:rFonts w:eastAsia="Calibri"/>
                <w:sz w:val="19"/>
              </w:rPr>
              <w:t>États</w:t>
            </w:r>
          </w:p>
        </w:tc>
        <w:tc>
          <w:tcPr>
            <w:tcW w:w="3950" w:type="dxa"/>
            <w:tcMar>
              <w:top w:w="80" w:type="dxa"/>
              <w:left w:w="120" w:type="dxa"/>
              <w:bottom w:w="80" w:type="dxa"/>
              <w:right w:w="120" w:type="dxa"/>
            </w:tcMar>
            <w:vAlign w:val="center"/>
          </w:tcPr>
          <w:p w14:paraId="0CF1DE54" w14:textId="77777777" w:rsidR="005A169D" w:rsidRPr="00D74FD3" w:rsidRDefault="00000000">
            <w:pPr>
              <w:keepNext/>
              <w:spacing w:after="0" w:line="283" w:lineRule="auto"/>
              <w:jc w:val="left"/>
              <w:rPr>
                <w:lang w:val="fr-FR"/>
              </w:rPr>
            </w:pPr>
            <w:r w:rsidRPr="00D74FD3">
              <w:rPr>
                <w:rFonts w:eastAsia="Calibri"/>
                <w:sz w:val="19"/>
                <w:lang w:val="fr-FR"/>
              </w:rPr>
              <w:t>Armée, loi, fiscalité, diplomatie, monnaie et frontières.</w:t>
            </w:r>
          </w:p>
        </w:tc>
        <w:tc>
          <w:tcPr>
            <w:tcW w:w="3760" w:type="dxa"/>
            <w:tcMar>
              <w:top w:w="80" w:type="dxa"/>
              <w:left w:w="120" w:type="dxa"/>
              <w:bottom w:w="80" w:type="dxa"/>
              <w:right w:w="120" w:type="dxa"/>
            </w:tcMar>
            <w:vAlign w:val="center"/>
          </w:tcPr>
          <w:p w14:paraId="35EAE9D9" w14:textId="77777777" w:rsidR="005A169D" w:rsidRPr="00D74FD3" w:rsidRDefault="00000000">
            <w:pPr>
              <w:keepNext/>
              <w:spacing w:after="0" w:line="283" w:lineRule="auto"/>
              <w:jc w:val="left"/>
              <w:rPr>
                <w:lang w:val="fr-FR"/>
              </w:rPr>
            </w:pPr>
            <w:r w:rsidRPr="00D74FD3">
              <w:rPr>
                <w:rFonts w:eastAsia="Calibri"/>
                <w:sz w:val="19"/>
                <w:lang w:val="fr-FR"/>
              </w:rPr>
              <w:t>Décisions officielles, capacité d'exécution, durée.</w:t>
            </w:r>
          </w:p>
        </w:tc>
      </w:tr>
      <w:tr w:rsidR="005A169D" w:rsidRPr="00D74FD3" w14:paraId="3BFD3CD3" w14:textId="77777777">
        <w:trPr>
          <w:cantSplit/>
        </w:trPr>
        <w:tc>
          <w:tcPr>
            <w:tcW w:w="1650" w:type="dxa"/>
            <w:shd w:val="clear" w:color="auto" w:fill="FAFBFC"/>
            <w:tcMar>
              <w:top w:w="80" w:type="dxa"/>
              <w:left w:w="120" w:type="dxa"/>
              <w:bottom w:w="80" w:type="dxa"/>
              <w:right w:w="120" w:type="dxa"/>
            </w:tcMar>
            <w:vAlign w:val="center"/>
          </w:tcPr>
          <w:p w14:paraId="506D9645" w14:textId="77777777" w:rsidR="005A169D" w:rsidRDefault="00000000">
            <w:pPr>
              <w:keepNext/>
              <w:spacing w:after="0" w:line="283" w:lineRule="auto"/>
              <w:jc w:val="left"/>
            </w:pPr>
            <w:r>
              <w:rPr>
                <w:rFonts w:eastAsia="Calibri"/>
                <w:sz w:val="19"/>
              </w:rPr>
              <w:t>Alliances et organisations</w:t>
            </w:r>
          </w:p>
        </w:tc>
        <w:tc>
          <w:tcPr>
            <w:tcW w:w="3950" w:type="dxa"/>
            <w:shd w:val="clear" w:color="auto" w:fill="FAFBFC"/>
            <w:tcMar>
              <w:top w:w="80" w:type="dxa"/>
              <w:left w:w="120" w:type="dxa"/>
              <w:bottom w:w="80" w:type="dxa"/>
              <w:right w:w="120" w:type="dxa"/>
            </w:tcMar>
            <w:vAlign w:val="center"/>
          </w:tcPr>
          <w:p w14:paraId="172AAAF0" w14:textId="77777777" w:rsidR="005A169D" w:rsidRPr="00D74FD3" w:rsidRDefault="00000000">
            <w:pPr>
              <w:keepNext/>
              <w:spacing w:after="0" w:line="283" w:lineRule="auto"/>
              <w:jc w:val="left"/>
              <w:rPr>
                <w:lang w:val="fr-FR"/>
              </w:rPr>
            </w:pPr>
            <w:r w:rsidRPr="00D74FD3">
              <w:rPr>
                <w:rFonts w:eastAsia="Calibri"/>
                <w:sz w:val="19"/>
                <w:lang w:val="fr-FR"/>
              </w:rPr>
              <w:t>Coordination, normes, défense collective, aide et sanctions.</w:t>
            </w:r>
          </w:p>
        </w:tc>
        <w:tc>
          <w:tcPr>
            <w:tcW w:w="3760" w:type="dxa"/>
            <w:shd w:val="clear" w:color="auto" w:fill="FAFBFC"/>
            <w:tcMar>
              <w:top w:w="80" w:type="dxa"/>
              <w:left w:w="120" w:type="dxa"/>
              <w:bottom w:w="80" w:type="dxa"/>
              <w:right w:w="120" w:type="dxa"/>
            </w:tcMar>
            <w:vAlign w:val="center"/>
          </w:tcPr>
          <w:p w14:paraId="5AEC72CE" w14:textId="77777777" w:rsidR="005A169D" w:rsidRPr="00D74FD3" w:rsidRDefault="00000000">
            <w:pPr>
              <w:keepNext/>
              <w:spacing w:after="0" w:line="283" w:lineRule="auto"/>
              <w:jc w:val="left"/>
              <w:rPr>
                <w:lang w:val="fr-FR"/>
              </w:rPr>
            </w:pPr>
            <w:r w:rsidRPr="00D74FD3">
              <w:rPr>
                <w:rFonts w:eastAsia="Calibri"/>
                <w:sz w:val="19"/>
                <w:lang w:val="fr-FR"/>
              </w:rPr>
              <w:t>Unité des membres et portée réelle des mesures.</w:t>
            </w:r>
          </w:p>
        </w:tc>
      </w:tr>
      <w:tr w:rsidR="005A169D" w:rsidRPr="00D74FD3" w14:paraId="605C9475" w14:textId="77777777">
        <w:trPr>
          <w:cantSplit/>
        </w:trPr>
        <w:tc>
          <w:tcPr>
            <w:tcW w:w="1650" w:type="dxa"/>
            <w:tcMar>
              <w:top w:w="80" w:type="dxa"/>
              <w:left w:w="120" w:type="dxa"/>
              <w:bottom w:w="80" w:type="dxa"/>
              <w:right w:w="120" w:type="dxa"/>
            </w:tcMar>
            <w:vAlign w:val="center"/>
          </w:tcPr>
          <w:p w14:paraId="7D134B62" w14:textId="77777777" w:rsidR="005A169D" w:rsidRDefault="00000000">
            <w:pPr>
              <w:keepNext/>
              <w:spacing w:after="0" w:line="283" w:lineRule="auto"/>
              <w:jc w:val="left"/>
            </w:pPr>
            <w:r>
              <w:rPr>
                <w:rFonts w:eastAsia="Calibri"/>
                <w:sz w:val="19"/>
              </w:rPr>
              <w:t>Entreprises stratégiques</w:t>
            </w:r>
          </w:p>
        </w:tc>
        <w:tc>
          <w:tcPr>
            <w:tcW w:w="3950" w:type="dxa"/>
            <w:tcMar>
              <w:top w:w="80" w:type="dxa"/>
              <w:left w:w="120" w:type="dxa"/>
              <w:bottom w:w="80" w:type="dxa"/>
              <w:right w:w="120" w:type="dxa"/>
            </w:tcMar>
            <w:vAlign w:val="center"/>
          </w:tcPr>
          <w:p w14:paraId="683FDB8C" w14:textId="77777777" w:rsidR="005A169D" w:rsidRPr="00D74FD3" w:rsidRDefault="00000000">
            <w:pPr>
              <w:keepNext/>
              <w:spacing w:after="0" w:line="283" w:lineRule="auto"/>
              <w:jc w:val="left"/>
              <w:rPr>
                <w:lang w:val="fr-FR"/>
              </w:rPr>
            </w:pPr>
            <w:r w:rsidRPr="00D74FD3">
              <w:rPr>
                <w:rFonts w:eastAsia="Calibri"/>
                <w:sz w:val="19"/>
                <w:lang w:val="fr-FR"/>
              </w:rPr>
              <w:t>Énergie, puces, transport, télécoms, infrastructures.</w:t>
            </w:r>
          </w:p>
        </w:tc>
        <w:tc>
          <w:tcPr>
            <w:tcW w:w="3760" w:type="dxa"/>
            <w:tcMar>
              <w:top w:w="80" w:type="dxa"/>
              <w:left w:w="120" w:type="dxa"/>
              <w:bottom w:w="80" w:type="dxa"/>
              <w:right w:w="120" w:type="dxa"/>
            </w:tcMar>
            <w:vAlign w:val="center"/>
          </w:tcPr>
          <w:p w14:paraId="74D667E4" w14:textId="77777777" w:rsidR="005A169D" w:rsidRPr="00D74FD3" w:rsidRDefault="00000000">
            <w:pPr>
              <w:keepNext/>
              <w:spacing w:after="0" w:line="283" w:lineRule="auto"/>
              <w:jc w:val="left"/>
              <w:rPr>
                <w:lang w:val="fr-FR"/>
              </w:rPr>
            </w:pPr>
            <w:r w:rsidRPr="00D74FD3">
              <w:rPr>
                <w:rFonts w:eastAsia="Calibri"/>
                <w:sz w:val="19"/>
                <w:lang w:val="fr-FR"/>
              </w:rPr>
              <w:t>Exposition géographique, dépendance et marges.</w:t>
            </w:r>
          </w:p>
        </w:tc>
      </w:tr>
      <w:tr w:rsidR="005A169D" w:rsidRPr="00D74FD3" w14:paraId="0CAEF8E4" w14:textId="77777777">
        <w:trPr>
          <w:cantSplit/>
        </w:trPr>
        <w:tc>
          <w:tcPr>
            <w:tcW w:w="1650" w:type="dxa"/>
            <w:shd w:val="clear" w:color="auto" w:fill="FAFBFC"/>
            <w:tcMar>
              <w:top w:w="80" w:type="dxa"/>
              <w:left w:w="120" w:type="dxa"/>
              <w:bottom w:w="80" w:type="dxa"/>
              <w:right w:w="120" w:type="dxa"/>
            </w:tcMar>
            <w:vAlign w:val="center"/>
          </w:tcPr>
          <w:p w14:paraId="5AB82571" w14:textId="77777777" w:rsidR="005A169D" w:rsidRDefault="00000000">
            <w:pPr>
              <w:keepNext/>
              <w:spacing w:after="0" w:line="283" w:lineRule="auto"/>
              <w:jc w:val="left"/>
            </w:pPr>
            <w:r>
              <w:rPr>
                <w:rFonts w:eastAsia="Calibri"/>
                <w:sz w:val="19"/>
              </w:rPr>
              <w:t>Acteurs non étatiques</w:t>
            </w:r>
          </w:p>
        </w:tc>
        <w:tc>
          <w:tcPr>
            <w:tcW w:w="3950" w:type="dxa"/>
            <w:shd w:val="clear" w:color="auto" w:fill="FAFBFC"/>
            <w:tcMar>
              <w:top w:w="80" w:type="dxa"/>
              <w:left w:w="120" w:type="dxa"/>
              <w:bottom w:w="80" w:type="dxa"/>
              <w:right w:w="120" w:type="dxa"/>
            </w:tcMar>
            <w:vAlign w:val="center"/>
          </w:tcPr>
          <w:p w14:paraId="65815131" w14:textId="77777777" w:rsidR="005A169D" w:rsidRPr="00D74FD3" w:rsidRDefault="00000000">
            <w:pPr>
              <w:keepNext/>
              <w:spacing w:after="0" w:line="283" w:lineRule="auto"/>
              <w:jc w:val="left"/>
              <w:rPr>
                <w:lang w:val="fr-FR"/>
              </w:rPr>
            </w:pPr>
            <w:r w:rsidRPr="00D74FD3">
              <w:rPr>
                <w:rFonts w:eastAsia="Calibri"/>
                <w:sz w:val="19"/>
                <w:lang w:val="fr-FR"/>
              </w:rPr>
              <w:t>Attaques, cyberrisque, perturbation de routes ou d'infrastructures.</w:t>
            </w:r>
          </w:p>
        </w:tc>
        <w:tc>
          <w:tcPr>
            <w:tcW w:w="3760" w:type="dxa"/>
            <w:shd w:val="clear" w:color="auto" w:fill="FAFBFC"/>
            <w:tcMar>
              <w:top w:w="80" w:type="dxa"/>
              <w:left w:w="120" w:type="dxa"/>
              <w:bottom w:w="80" w:type="dxa"/>
              <w:right w:w="120" w:type="dxa"/>
            </w:tcMar>
            <w:vAlign w:val="center"/>
          </w:tcPr>
          <w:p w14:paraId="2D14A948" w14:textId="77777777" w:rsidR="005A169D" w:rsidRPr="00D74FD3" w:rsidRDefault="00000000">
            <w:pPr>
              <w:keepNext/>
              <w:spacing w:after="0" w:line="283" w:lineRule="auto"/>
              <w:jc w:val="left"/>
              <w:rPr>
                <w:lang w:val="fr-FR"/>
              </w:rPr>
            </w:pPr>
            <w:r w:rsidRPr="00D74FD3">
              <w:rPr>
                <w:rFonts w:eastAsia="Calibri"/>
                <w:sz w:val="19"/>
                <w:lang w:val="fr-FR"/>
              </w:rPr>
              <w:t>Capacité à répéter l'action et à élargir le conflit.</w:t>
            </w:r>
          </w:p>
        </w:tc>
      </w:tr>
      <w:tr w:rsidR="005A169D" w:rsidRPr="00D74FD3" w14:paraId="5E245F8C" w14:textId="77777777">
        <w:trPr>
          <w:cantSplit/>
        </w:trPr>
        <w:tc>
          <w:tcPr>
            <w:tcW w:w="1650" w:type="dxa"/>
            <w:tcMar>
              <w:top w:w="80" w:type="dxa"/>
              <w:left w:w="120" w:type="dxa"/>
              <w:bottom w:w="80" w:type="dxa"/>
              <w:right w:w="120" w:type="dxa"/>
            </w:tcMar>
            <w:vAlign w:val="center"/>
          </w:tcPr>
          <w:p w14:paraId="2F8EEC1D" w14:textId="77777777" w:rsidR="005A169D" w:rsidRDefault="00000000">
            <w:pPr>
              <w:spacing w:after="0" w:line="283" w:lineRule="auto"/>
              <w:jc w:val="left"/>
            </w:pPr>
            <w:r>
              <w:rPr>
                <w:rFonts w:eastAsia="Calibri"/>
                <w:sz w:val="19"/>
              </w:rPr>
              <w:t>Investisseurs et banques</w:t>
            </w:r>
          </w:p>
        </w:tc>
        <w:tc>
          <w:tcPr>
            <w:tcW w:w="3950" w:type="dxa"/>
            <w:tcMar>
              <w:top w:w="80" w:type="dxa"/>
              <w:left w:w="120" w:type="dxa"/>
              <w:bottom w:w="80" w:type="dxa"/>
              <w:right w:w="120" w:type="dxa"/>
            </w:tcMar>
            <w:vAlign w:val="center"/>
          </w:tcPr>
          <w:p w14:paraId="1904F199" w14:textId="77777777" w:rsidR="005A169D" w:rsidRPr="00D74FD3" w:rsidRDefault="00000000">
            <w:pPr>
              <w:spacing w:after="0" w:line="283" w:lineRule="auto"/>
              <w:jc w:val="left"/>
              <w:rPr>
                <w:lang w:val="fr-FR"/>
              </w:rPr>
            </w:pPr>
            <w:r w:rsidRPr="00D74FD3">
              <w:rPr>
                <w:rFonts w:eastAsia="Calibri"/>
                <w:sz w:val="19"/>
                <w:lang w:val="fr-FR"/>
              </w:rPr>
              <w:t>Allocation du capital, liquidité, financement et couverture.</w:t>
            </w:r>
          </w:p>
        </w:tc>
        <w:tc>
          <w:tcPr>
            <w:tcW w:w="3760" w:type="dxa"/>
            <w:tcMar>
              <w:top w:w="80" w:type="dxa"/>
              <w:left w:w="120" w:type="dxa"/>
              <w:bottom w:w="80" w:type="dxa"/>
              <w:right w:w="120" w:type="dxa"/>
            </w:tcMar>
            <w:vAlign w:val="center"/>
          </w:tcPr>
          <w:p w14:paraId="6DB544FC" w14:textId="77777777" w:rsidR="005A169D" w:rsidRPr="00D74FD3" w:rsidRDefault="00000000">
            <w:pPr>
              <w:spacing w:after="0" w:line="283" w:lineRule="auto"/>
              <w:jc w:val="left"/>
              <w:rPr>
                <w:lang w:val="fr-FR"/>
              </w:rPr>
            </w:pPr>
            <w:r w:rsidRPr="00D74FD3">
              <w:rPr>
                <w:rFonts w:eastAsia="Calibri"/>
                <w:sz w:val="19"/>
                <w:lang w:val="fr-FR"/>
              </w:rPr>
              <w:t>Flux, appels de marge, prime de risque et contagion.</w:t>
            </w:r>
          </w:p>
        </w:tc>
      </w:tr>
    </w:tbl>
    <w:p w14:paraId="34725C32" w14:textId="77777777" w:rsidR="005A169D" w:rsidRPr="00D74FD3" w:rsidRDefault="005A169D">
      <w:pPr>
        <w:spacing w:after="100"/>
        <w:rPr>
          <w:lang w:val="fr-FR"/>
        </w:rPr>
      </w:pPr>
    </w:p>
    <w:p w14:paraId="2247B7F1" w14:textId="77777777" w:rsidR="005A169D" w:rsidRPr="00D74FD3" w:rsidRDefault="00000000">
      <w:pPr>
        <w:pStyle w:val="Titre2"/>
        <w:rPr>
          <w:lang w:val="fr-FR"/>
        </w:rPr>
      </w:pPr>
      <w:r w:rsidRPr="00D74FD3">
        <w:rPr>
          <w:lang w:val="fr-FR"/>
        </w:rPr>
        <w:t>2.2 Les ressources qui créent une dépendance</w:t>
      </w:r>
    </w:p>
    <w:p w14:paraId="346860DC" w14:textId="77777777" w:rsidR="005A169D" w:rsidRPr="00D74FD3" w:rsidRDefault="00000000">
      <w:pPr>
        <w:numPr>
          <w:ilvl w:val="0"/>
          <w:numId w:val="1"/>
        </w:numPr>
        <w:spacing w:after="80" w:line="300" w:lineRule="auto"/>
        <w:rPr>
          <w:lang w:val="fr-FR"/>
        </w:rPr>
      </w:pPr>
      <w:r w:rsidRPr="00D74FD3">
        <w:rPr>
          <w:rFonts w:eastAsia="Calibri"/>
          <w:color w:val="111111"/>
          <w:lang w:val="fr-FR"/>
        </w:rPr>
        <w:t>Énergie : pétrole, gaz, uranium, électricité et capacités de raffinage.</w:t>
      </w:r>
    </w:p>
    <w:p w14:paraId="23589644" w14:textId="77777777" w:rsidR="005A169D" w:rsidRPr="00D74FD3" w:rsidRDefault="00000000">
      <w:pPr>
        <w:numPr>
          <w:ilvl w:val="0"/>
          <w:numId w:val="1"/>
        </w:numPr>
        <w:spacing w:after="80" w:line="300" w:lineRule="auto"/>
        <w:rPr>
          <w:lang w:val="fr-FR"/>
        </w:rPr>
      </w:pPr>
      <w:r w:rsidRPr="00D74FD3">
        <w:rPr>
          <w:rFonts w:eastAsia="Calibri"/>
          <w:color w:val="111111"/>
          <w:lang w:val="fr-FR"/>
        </w:rPr>
        <w:t>Alimentation : blé, maïs, huiles, engrais et routes d'exportation.</w:t>
      </w:r>
    </w:p>
    <w:p w14:paraId="188966FA" w14:textId="77777777" w:rsidR="005A169D" w:rsidRPr="00D74FD3" w:rsidRDefault="00000000">
      <w:pPr>
        <w:numPr>
          <w:ilvl w:val="0"/>
          <w:numId w:val="1"/>
        </w:numPr>
        <w:spacing w:after="80" w:line="300" w:lineRule="auto"/>
        <w:rPr>
          <w:lang w:val="fr-FR"/>
        </w:rPr>
      </w:pPr>
      <w:r w:rsidRPr="00D74FD3">
        <w:rPr>
          <w:rFonts w:eastAsia="Calibri"/>
          <w:color w:val="111111"/>
          <w:lang w:val="fr-FR"/>
        </w:rPr>
        <w:t>Technologie : semi-conducteurs, machines de fabrication, logiciels et données.</w:t>
      </w:r>
    </w:p>
    <w:p w14:paraId="6A40481B" w14:textId="77777777" w:rsidR="005A169D" w:rsidRPr="00D74FD3" w:rsidRDefault="00000000">
      <w:pPr>
        <w:numPr>
          <w:ilvl w:val="0"/>
          <w:numId w:val="1"/>
        </w:numPr>
        <w:spacing w:after="80" w:line="300" w:lineRule="auto"/>
        <w:rPr>
          <w:lang w:val="fr-FR"/>
        </w:rPr>
      </w:pPr>
      <w:r w:rsidRPr="00D74FD3">
        <w:rPr>
          <w:rFonts w:eastAsia="Calibri"/>
          <w:color w:val="111111"/>
          <w:lang w:val="fr-FR"/>
        </w:rPr>
        <w:t>Métaux critiques : cuivre, lithium, nickel, terres rares et capacités de transformation.</w:t>
      </w:r>
    </w:p>
    <w:p w14:paraId="3F1B11FE" w14:textId="77777777" w:rsidR="005A169D" w:rsidRPr="00D74FD3" w:rsidRDefault="00000000">
      <w:pPr>
        <w:numPr>
          <w:ilvl w:val="0"/>
          <w:numId w:val="1"/>
        </w:numPr>
        <w:spacing w:after="80" w:line="300" w:lineRule="auto"/>
        <w:rPr>
          <w:lang w:val="fr-FR"/>
        </w:rPr>
      </w:pPr>
      <w:r w:rsidRPr="00D74FD3">
        <w:rPr>
          <w:rFonts w:eastAsia="Calibri"/>
          <w:color w:val="111111"/>
          <w:lang w:val="fr-FR"/>
        </w:rPr>
        <w:t>Finance : monnaie de réserve, systèmes de paiement, banques correspondantes et réserves de change.</w:t>
      </w:r>
    </w:p>
    <w:p w14:paraId="0C8E237B" w14:textId="77777777" w:rsidR="005A169D" w:rsidRPr="00D74FD3" w:rsidRDefault="00000000">
      <w:pPr>
        <w:numPr>
          <w:ilvl w:val="0"/>
          <w:numId w:val="1"/>
        </w:numPr>
        <w:spacing w:after="80" w:line="300" w:lineRule="auto"/>
        <w:rPr>
          <w:lang w:val="fr-FR"/>
        </w:rPr>
      </w:pPr>
      <w:r w:rsidRPr="00D74FD3">
        <w:rPr>
          <w:rFonts w:eastAsia="Calibri"/>
          <w:color w:val="111111"/>
          <w:lang w:val="fr-FR"/>
        </w:rPr>
        <w:t>Transport : ports, détroits, canaux, pipelines, câbles sous-marins et satellites.</w:t>
      </w:r>
    </w:p>
    <w:p w14:paraId="43F3CFDE" w14:textId="77777777" w:rsidR="005A169D" w:rsidRPr="00D74FD3" w:rsidRDefault="00000000">
      <w:pPr>
        <w:rPr>
          <w:lang w:val="fr-FR"/>
        </w:rPr>
      </w:pPr>
      <w:r w:rsidRPr="00D74FD3">
        <w:rPr>
          <w:rFonts w:eastAsia="Calibri"/>
          <w:lang w:val="fr-FR"/>
        </w:rPr>
        <w:t>Une dépendance n'est dangereuse que si elle est difficile à remplacer. Il faut donc rechercher les fournisseurs alternatifs, les stocks, la capacité inutilisée, les délais de transport et les technologies de substitution.</w:t>
      </w:r>
    </w:p>
    <w:p w14:paraId="7B7A5B99" w14:textId="77777777" w:rsidR="005A169D" w:rsidRDefault="00000000">
      <w:pPr>
        <w:pStyle w:val="Titre2"/>
      </w:pPr>
      <w:r>
        <w:t>2.3 Les instruments de puissance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800"/>
        <w:gridCol w:w="3940"/>
        <w:gridCol w:w="3620"/>
      </w:tblGrid>
      <w:tr w:rsidR="005A169D" w14:paraId="39321D74" w14:textId="77777777">
        <w:trPr>
          <w:cantSplit/>
          <w:tblHeader/>
        </w:trPr>
        <w:tc>
          <w:tcPr>
            <w:tcW w:w="1800" w:type="dxa"/>
            <w:shd w:val="clear" w:color="auto" w:fill="F4F6F9"/>
            <w:tcMar>
              <w:top w:w="80" w:type="dxa"/>
              <w:left w:w="120" w:type="dxa"/>
              <w:bottom w:w="80" w:type="dxa"/>
              <w:right w:w="120" w:type="dxa"/>
            </w:tcMar>
            <w:vAlign w:val="center"/>
          </w:tcPr>
          <w:p w14:paraId="201908A0" w14:textId="77777777" w:rsidR="005A169D" w:rsidRDefault="00000000">
            <w:pPr>
              <w:keepNext/>
              <w:spacing w:after="0" w:line="283" w:lineRule="auto"/>
              <w:jc w:val="left"/>
            </w:pPr>
            <w:r>
              <w:rPr>
                <w:rFonts w:eastAsia="Calibri"/>
                <w:b/>
                <w:color w:val="0B2545"/>
                <w:sz w:val="19"/>
              </w:rPr>
              <w:t>Instrument</w:t>
            </w:r>
          </w:p>
        </w:tc>
        <w:tc>
          <w:tcPr>
            <w:tcW w:w="3940" w:type="dxa"/>
            <w:shd w:val="clear" w:color="auto" w:fill="F4F6F9"/>
            <w:tcMar>
              <w:top w:w="80" w:type="dxa"/>
              <w:left w:w="120" w:type="dxa"/>
              <w:bottom w:w="80" w:type="dxa"/>
              <w:right w:w="120" w:type="dxa"/>
            </w:tcMar>
            <w:vAlign w:val="center"/>
          </w:tcPr>
          <w:p w14:paraId="7B6CA854" w14:textId="77777777" w:rsidR="005A169D" w:rsidRDefault="00000000">
            <w:pPr>
              <w:keepNext/>
              <w:spacing w:after="0" w:line="283" w:lineRule="auto"/>
              <w:jc w:val="left"/>
            </w:pPr>
            <w:r>
              <w:rPr>
                <w:rFonts w:eastAsia="Calibri"/>
                <w:b/>
                <w:color w:val="0B2545"/>
                <w:sz w:val="19"/>
              </w:rPr>
              <w:t>Mécanisme économique</w:t>
            </w:r>
          </w:p>
        </w:tc>
        <w:tc>
          <w:tcPr>
            <w:tcW w:w="3620" w:type="dxa"/>
            <w:shd w:val="clear" w:color="auto" w:fill="F4F6F9"/>
            <w:tcMar>
              <w:top w:w="80" w:type="dxa"/>
              <w:left w:w="120" w:type="dxa"/>
              <w:bottom w:w="80" w:type="dxa"/>
              <w:right w:w="120" w:type="dxa"/>
            </w:tcMar>
            <w:vAlign w:val="center"/>
          </w:tcPr>
          <w:p w14:paraId="1282A64A" w14:textId="77777777" w:rsidR="005A169D" w:rsidRDefault="00000000">
            <w:pPr>
              <w:keepNext/>
              <w:spacing w:after="0" w:line="283" w:lineRule="auto"/>
              <w:jc w:val="left"/>
            </w:pPr>
            <w:r>
              <w:rPr>
                <w:rFonts w:eastAsia="Calibri"/>
                <w:b/>
                <w:color w:val="0B2545"/>
                <w:sz w:val="19"/>
              </w:rPr>
              <w:t>Premiers actifs concernés</w:t>
            </w:r>
          </w:p>
        </w:tc>
      </w:tr>
      <w:tr w:rsidR="005A169D" w:rsidRPr="00D74FD3" w14:paraId="16406AE7" w14:textId="77777777">
        <w:trPr>
          <w:cantSplit/>
        </w:trPr>
        <w:tc>
          <w:tcPr>
            <w:tcW w:w="1800" w:type="dxa"/>
            <w:tcMar>
              <w:top w:w="80" w:type="dxa"/>
              <w:left w:w="120" w:type="dxa"/>
              <w:bottom w:w="80" w:type="dxa"/>
              <w:right w:w="120" w:type="dxa"/>
            </w:tcMar>
            <w:vAlign w:val="center"/>
          </w:tcPr>
          <w:p w14:paraId="52A0CA4C" w14:textId="77777777" w:rsidR="005A169D" w:rsidRDefault="00000000">
            <w:pPr>
              <w:keepNext/>
              <w:spacing w:after="0" w:line="283" w:lineRule="auto"/>
              <w:jc w:val="left"/>
            </w:pPr>
            <w:r>
              <w:rPr>
                <w:rFonts w:eastAsia="Calibri"/>
                <w:sz w:val="19"/>
              </w:rPr>
              <w:t>Conflit ou attaque</w:t>
            </w:r>
          </w:p>
        </w:tc>
        <w:tc>
          <w:tcPr>
            <w:tcW w:w="3940" w:type="dxa"/>
            <w:tcMar>
              <w:top w:w="80" w:type="dxa"/>
              <w:left w:w="120" w:type="dxa"/>
              <w:bottom w:w="80" w:type="dxa"/>
              <w:right w:w="120" w:type="dxa"/>
            </w:tcMar>
            <w:vAlign w:val="center"/>
          </w:tcPr>
          <w:p w14:paraId="7D7DB9AB" w14:textId="77777777" w:rsidR="005A169D" w:rsidRPr="00D74FD3" w:rsidRDefault="00000000">
            <w:pPr>
              <w:keepNext/>
              <w:spacing w:after="0" w:line="283" w:lineRule="auto"/>
              <w:jc w:val="left"/>
              <w:rPr>
                <w:lang w:val="fr-FR"/>
              </w:rPr>
            </w:pPr>
            <w:r w:rsidRPr="00D74FD3">
              <w:rPr>
                <w:rFonts w:eastAsia="Calibri"/>
                <w:sz w:val="19"/>
                <w:lang w:val="fr-FR"/>
              </w:rPr>
              <w:t>Détruit, bloque ou menace une capacité physique.</w:t>
            </w:r>
          </w:p>
        </w:tc>
        <w:tc>
          <w:tcPr>
            <w:tcW w:w="3620" w:type="dxa"/>
            <w:tcMar>
              <w:top w:w="80" w:type="dxa"/>
              <w:left w:w="120" w:type="dxa"/>
              <w:bottom w:w="80" w:type="dxa"/>
              <w:right w:w="120" w:type="dxa"/>
            </w:tcMar>
            <w:vAlign w:val="center"/>
          </w:tcPr>
          <w:p w14:paraId="5B48E32F" w14:textId="77777777" w:rsidR="005A169D" w:rsidRPr="00D74FD3" w:rsidRDefault="00000000">
            <w:pPr>
              <w:keepNext/>
              <w:spacing w:after="0" w:line="283" w:lineRule="auto"/>
              <w:jc w:val="left"/>
              <w:rPr>
                <w:lang w:val="fr-FR"/>
              </w:rPr>
            </w:pPr>
            <w:r w:rsidRPr="00D74FD3">
              <w:rPr>
                <w:rFonts w:eastAsia="Calibri"/>
                <w:sz w:val="19"/>
                <w:lang w:val="fr-FR"/>
              </w:rPr>
              <w:t>Énergie, matières premières, défense, VIX, devises.</w:t>
            </w:r>
          </w:p>
        </w:tc>
      </w:tr>
      <w:tr w:rsidR="005A169D" w:rsidRPr="00D74FD3" w14:paraId="3FC2C089" w14:textId="77777777">
        <w:trPr>
          <w:cantSplit/>
        </w:trPr>
        <w:tc>
          <w:tcPr>
            <w:tcW w:w="1800" w:type="dxa"/>
            <w:shd w:val="clear" w:color="auto" w:fill="FAFBFC"/>
            <w:tcMar>
              <w:top w:w="80" w:type="dxa"/>
              <w:left w:w="120" w:type="dxa"/>
              <w:bottom w:w="80" w:type="dxa"/>
              <w:right w:w="120" w:type="dxa"/>
            </w:tcMar>
            <w:vAlign w:val="center"/>
          </w:tcPr>
          <w:p w14:paraId="4051D7D1" w14:textId="77777777" w:rsidR="005A169D" w:rsidRDefault="00000000">
            <w:pPr>
              <w:keepNext/>
              <w:spacing w:after="0" w:line="283" w:lineRule="auto"/>
              <w:jc w:val="left"/>
            </w:pPr>
            <w:r>
              <w:rPr>
                <w:rFonts w:eastAsia="Calibri"/>
                <w:sz w:val="19"/>
              </w:rPr>
              <w:t>Sanction financière</w:t>
            </w:r>
          </w:p>
        </w:tc>
        <w:tc>
          <w:tcPr>
            <w:tcW w:w="3940" w:type="dxa"/>
            <w:shd w:val="clear" w:color="auto" w:fill="FAFBFC"/>
            <w:tcMar>
              <w:top w:w="80" w:type="dxa"/>
              <w:left w:w="120" w:type="dxa"/>
              <w:bottom w:w="80" w:type="dxa"/>
              <w:right w:w="120" w:type="dxa"/>
            </w:tcMar>
            <w:vAlign w:val="center"/>
          </w:tcPr>
          <w:p w14:paraId="1ED133BC" w14:textId="77777777" w:rsidR="005A169D" w:rsidRPr="00D74FD3" w:rsidRDefault="00000000">
            <w:pPr>
              <w:keepNext/>
              <w:spacing w:after="0" w:line="283" w:lineRule="auto"/>
              <w:jc w:val="left"/>
              <w:rPr>
                <w:lang w:val="fr-FR"/>
              </w:rPr>
            </w:pPr>
            <w:r w:rsidRPr="00D74FD3">
              <w:rPr>
                <w:rFonts w:eastAsia="Calibri"/>
                <w:sz w:val="19"/>
                <w:lang w:val="fr-FR"/>
              </w:rPr>
              <w:t>Restreint le financement, le paiement ou l'accès aux réserves.</w:t>
            </w:r>
          </w:p>
        </w:tc>
        <w:tc>
          <w:tcPr>
            <w:tcW w:w="3620" w:type="dxa"/>
            <w:shd w:val="clear" w:color="auto" w:fill="FAFBFC"/>
            <w:tcMar>
              <w:top w:w="80" w:type="dxa"/>
              <w:left w:w="120" w:type="dxa"/>
              <w:bottom w:w="80" w:type="dxa"/>
              <w:right w:w="120" w:type="dxa"/>
            </w:tcMar>
            <w:vAlign w:val="center"/>
          </w:tcPr>
          <w:p w14:paraId="5ABA7FB9" w14:textId="77777777" w:rsidR="005A169D" w:rsidRPr="00D74FD3" w:rsidRDefault="00000000">
            <w:pPr>
              <w:keepNext/>
              <w:spacing w:after="0" w:line="283" w:lineRule="auto"/>
              <w:jc w:val="left"/>
              <w:rPr>
                <w:lang w:val="fr-FR"/>
              </w:rPr>
            </w:pPr>
            <w:r w:rsidRPr="00D74FD3">
              <w:rPr>
                <w:rFonts w:eastAsia="Calibri"/>
                <w:sz w:val="19"/>
                <w:lang w:val="fr-FR"/>
              </w:rPr>
              <w:t>Devise, banques, dette souveraine, entreprises exposées.</w:t>
            </w:r>
          </w:p>
        </w:tc>
      </w:tr>
      <w:tr w:rsidR="005A169D" w:rsidRPr="00D74FD3" w14:paraId="0CFF8A28" w14:textId="77777777">
        <w:trPr>
          <w:cantSplit/>
        </w:trPr>
        <w:tc>
          <w:tcPr>
            <w:tcW w:w="1800" w:type="dxa"/>
            <w:tcMar>
              <w:top w:w="80" w:type="dxa"/>
              <w:left w:w="120" w:type="dxa"/>
              <w:bottom w:w="80" w:type="dxa"/>
              <w:right w:w="120" w:type="dxa"/>
            </w:tcMar>
            <w:vAlign w:val="center"/>
          </w:tcPr>
          <w:p w14:paraId="2D6129ED" w14:textId="77777777" w:rsidR="005A169D" w:rsidRDefault="00000000">
            <w:pPr>
              <w:keepNext/>
              <w:spacing w:after="0" w:line="283" w:lineRule="auto"/>
              <w:jc w:val="left"/>
            </w:pPr>
            <w:r>
              <w:rPr>
                <w:rFonts w:eastAsia="Calibri"/>
                <w:sz w:val="19"/>
              </w:rPr>
              <w:t>Embargo</w:t>
            </w:r>
          </w:p>
        </w:tc>
        <w:tc>
          <w:tcPr>
            <w:tcW w:w="3940" w:type="dxa"/>
            <w:tcMar>
              <w:top w:w="80" w:type="dxa"/>
              <w:left w:w="120" w:type="dxa"/>
              <w:bottom w:w="80" w:type="dxa"/>
              <w:right w:w="120" w:type="dxa"/>
            </w:tcMar>
            <w:vAlign w:val="center"/>
          </w:tcPr>
          <w:p w14:paraId="039240FE" w14:textId="77777777" w:rsidR="005A169D" w:rsidRPr="00D74FD3" w:rsidRDefault="00000000">
            <w:pPr>
              <w:keepNext/>
              <w:spacing w:after="0" w:line="283" w:lineRule="auto"/>
              <w:jc w:val="left"/>
              <w:rPr>
                <w:lang w:val="fr-FR"/>
              </w:rPr>
            </w:pPr>
            <w:r w:rsidRPr="00D74FD3">
              <w:rPr>
                <w:rFonts w:eastAsia="Calibri"/>
                <w:sz w:val="19"/>
                <w:lang w:val="fr-FR"/>
              </w:rPr>
              <w:t>Interdit l'achat ou la vente d'un produit.</w:t>
            </w:r>
          </w:p>
        </w:tc>
        <w:tc>
          <w:tcPr>
            <w:tcW w:w="3620" w:type="dxa"/>
            <w:tcMar>
              <w:top w:w="80" w:type="dxa"/>
              <w:left w:w="120" w:type="dxa"/>
              <w:bottom w:w="80" w:type="dxa"/>
              <w:right w:w="120" w:type="dxa"/>
            </w:tcMar>
            <w:vAlign w:val="center"/>
          </w:tcPr>
          <w:p w14:paraId="1CD40639" w14:textId="77777777" w:rsidR="005A169D" w:rsidRPr="00D74FD3" w:rsidRDefault="00000000">
            <w:pPr>
              <w:keepNext/>
              <w:spacing w:after="0" w:line="283" w:lineRule="auto"/>
              <w:jc w:val="left"/>
              <w:rPr>
                <w:lang w:val="fr-FR"/>
              </w:rPr>
            </w:pPr>
            <w:r w:rsidRPr="00D74FD3">
              <w:rPr>
                <w:rFonts w:eastAsia="Calibri"/>
                <w:sz w:val="19"/>
                <w:lang w:val="fr-FR"/>
              </w:rPr>
              <w:t>Produit visé, substituts, transport et inflation.</w:t>
            </w:r>
          </w:p>
        </w:tc>
      </w:tr>
      <w:tr w:rsidR="005A169D" w:rsidRPr="00D74FD3" w14:paraId="62130DAA" w14:textId="77777777">
        <w:trPr>
          <w:cantSplit/>
        </w:trPr>
        <w:tc>
          <w:tcPr>
            <w:tcW w:w="1800" w:type="dxa"/>
            <w:shd w:val="clear" w:color="auto" w:fill="FAFBFC"/>
            <w:tcMar>
              <w:top w:w="80" w:type="dxa"/>
              <w:left w:w="120" w:type="dxa"/>
              <w:bottom w:w="80" w:type="dxa"/>
              <w:right w:w="120" w:type="dxa"/>
            </w:tcMar>
            <w:vAlign w:val="center"/>
          </w:tcPr>
          <w:p w14:paraId="4263E504" w14:textId="77777777" w:rsidR="005A169D" w:rsidRDefault="00000000">
            <w:pPr>
              <w:keepNext/>
              <w:spacing w:after="0" w:line="283" w:lineRule="auto"/>
              <w:jc w:val="left"/>
            </w:pPr>
            <w:r>
              <w:rPr>
                <w:rFonts w:eastAsia="Calibri"/>
                <w:sz w:val="19"/>
              </w:rPr>
              <w:t>Tarif douanier</w:t>
            </w:r>
          </w:p>
        </w:tc>
        <w:tc>
          <w:tcPr>
            <w:tcW w:w="3940" w:type="dxa"/>
            <w:shd w:val="clear" w:color="auto" w:fill="FAFBFC"/>
            <w:tcMar>
              <w:top w:w="80" w:type="dxa"/>
              <w:left w:w="120" w:type="dxa"/>
              <w:bottom w:w="80" w:type="dxa"/>
              <w:right w:w="120" w:type="dxa"/>
            </w:tcMar>
            <w:vAlign w:val="center"/>
          </w:tcPr>
          <w:p w14:paraId="0D55A50B" w14:textId="77777777" w:rsidR="005A169D" w:rsidRPr="00D74FD3" w:rsidRDefault="00000000">
            <w:pPr>
              <w:keepNext/>
              <w:spacing w:after="0" w:line="283" w:lineRule="auto"/>
              <w:jc w:val="left"/>
              <w:rPr>
                <w:lang w:val="fr-FR"/>
              </w:rPr>
            </w:pPr>
            <w:r w:rsidRPr="00D74FD3">
              <w:rPr>
                <w:rFonts w:eastAsia="Calibri"/>
                <w:sz w:val="19"/>
                <w:lang w:val="fr-FR"/>
              </w:rPr>
              <w:t>Augmente le coût d'une importation et modifie la compétitivité.</w:t>
            </w:r>
          </w:p>
        </w:tc>
        <w:tc>
          <w:tcPr>
            <w:tcW w:w="3620" w:type="dxa"/>
            <w:shd w:val="clear" w:color="auto" w:fill="FAFBFC"/>
            <w:tcMar>
              <w:top w:w="80" w:type="dxa"/>
              <w:left w:w="120" w:type="dxa"/>
              <w:bottom w:w="80" w:type="dxa"/>
              <w:right w:w="120" w:type="dxa"/>
            </w:tcMar>
            <w:vAlign w:val="center"/>
          </w:tcPr>
          <w:p w14:paraId="29A961A0" w14:textId="77777777" w:rsidR="005A169D" w:rsidRPr="00D74FD3" w:rsidRDefault="00000000">
            <w:pPr>
              <w:keepNext/>
              <w:spacing w:after="0" w:line="283" w:lineRule="auto"/>
              <w:jc w:val="left"/>
              <w:rPr>
                <w:lang w:val="fr-FR"/>
              </w:rPr>
            </w:pPr>
            <w:r w:rsidRPr="00D74FD3">
              <w:rPr>
                <w:rFonts w:eastAsia="Calibri"/>
                <w:sz w:val="19"/>
                <w:lang w:val="fr-FR"/>
              </w:rPr>
              <w:t>Devise, industriels, distributeurs et marges.</w:t>
            </w:r>
          </w:p>
        </w:tc>
      </w:tr>
      <w:tr w:rsidR="005A169D" w:rsidRPr="00D74FD3" w14:paraId="7C73851C" w14:textId="77777777">
        <w:trPr>
          <w:cantSplit/>
        </w:trPr>
        <w:tc>
          <w:tcPr>
            <w:tcW w:w="1800" w:type="dxa"/>
            <w:tcMar>
              <w:top w:w="80" w:type="dxa"/>
              <w:left w:w="120" w:type="dxa"/>
              <w:bottom w:w="80" w:type="dxa"/>
              <w:right w:w="120" w:type="dxa"/>
            </w:tcMar>
            <w:vAlign w:val="center"/>
          </w:tcPr>
          <w:p w14:paraId="10002B19" w14:textId="77777777" w:rsidR="005A169D" w:rsidRDefault="00000000">
            <w:pPr>
              <w:keepNext/>
              <w:spacing w:after="0" w:line="283" w:lineRule="auto"/>
              <w:jc w:val="left"/>
            </w:pPr>
            <w:r>
              <w:rPr>
                <w:rFonts w:eastAsia="Calibri"/>
                <w:sz w:val="19"/>
              </w:rPr>
              <w:t>Contrôle à l'exportation</w:t>
            </w:r>
          </w:p>
        </w:tc>
        <w:tc>
          <w:tcPr>
            <w:tcW w:w="3940" w:type="dxa"/>
            <w:tcMar>
              <w:top w:w="80" w:type="dxa"/>
              <w:left w:w="120" w:type="dxa"/>
              <w:bottom w:w="80" w:type="dxa"/>
              <w:right w:w="120" w:type="dxa"/>
            </w:tcMar>
            <w:vAlign w:val="center"/>
          </w:tcPr>
          <w:p w14:paraId="7182069E" w14:textId="77777777" w:rsidR="005A169D" w:rsidRPr="00D74FD3" w:rsidRDefault="00000000">
            <w:pPr>
              <w:keepNext/>
              <w:spacing w:after="0" w:line="283" w:lineRule="auto"/>
              <w:jc w:val="left"/>
              <w:rPr>
                <w:lang w:val="fr-FR"/>
              </w:rPr>
            </w:pPr>
            <w:r w:rsidRPr="00D74FD3">
              <w:rPr>
                <w:rFonts w:eastAsia="Calibri"/>
                <w:sz w:val="19"/>
                <w:lang w:val="fr-FR"/>
              </w:rPr>
              <w:t>Limite l'accès à un bien stratégique ou à une technologie.</w:t>
            </w:r>
          </w:p>
        </w:tc>
        <w:tc>
          <w:tcPr>
            <w:tcW w:w="3620" w:type="dxa"/>
            <w:tcMar>
              <w:top w:w="80" w:type="dxa"/>
              <w:left w:w="120" w:type="dxa"/>
              <w:bottom w:w="80" w:type="dxa"/>
              <w:right w:w="120" w:type="dxa"/>
            </w:tcMar>
            <w:vAlign w:val="center"/>
          </w:tcPr>
          <w:p w14:paraId="2444BF81" w14:textId="77777777" w:rsidR="005A169D" w:rsidRPr="00D74FD3" w:rsidRDefault="00000000">
            <w:pPr>
              <w:keepNext/>
              <w:spacing w:after="0" w:line="283" w:lineRule="auto"/>
              <w:jc w:val="left"/>
              <w:rPr>
                <w:lang w:val="fr-FR"/>
              </w:rPr>
            </w:pPr>
            <w:r w:rsidRPr="00D74FD3">
              <w:rPr>
                <w:rFonts w:eastAsia="Calibri"/>
                <w:sz w:val="19"/>
                <w:lang w:val="fr-FR"/>
              </w:rPr>
              <w:t>Semi-conducteurs, équipementiers, clients étrangers.</w:t>
            </w:r>
          </w:p>
        </w:tc>
      </w:tr>
      <w:tr w:rsidR="005A169D" w:rsidRPr="00D74FD3" w14:paraId="2DD00C50" w14:textId="77777777">
        <w:trPr>
          <w:cantSplit/>
        </w:trPr>
        <w:tc>
          <w:tcPr>
            <w:tcW w:w="1800" w:type="dxa"/>
            <w:shd w:val="clear" w:color="auto" w:fill="FAFBFC"/>
            <w:tcMar>
              <w:top w:w="80" w:type="dxa"/>
              <w:left w:w="120" w:type="dxa"/>
              <w:bottom w:w="80" w:type="dxa"/>
              <w:right w:w="120" w:type="dxa"/>
            </w:tcMar>
            <w:vAlign w:val="center"/>
          </w:tcPr>
          <w:p w14:paraId="76C68DC9" w14:textId="77777777" w:rsidR="005A169D" w:rsidRDefault="00000000">
            <w:pPr>
              <w:keepNext/>
              <w:spacing w:after="0" w:line="283" w:lineRule="auto"/>
              <w:jc w:val="left"/>
            </w:pPr>
            <w:r>
              <w:rPr>
                <w:rFonts w:eastAsia="Calibri"/>
                <w:sz w:val="19"/>
              </w:rPr>
              <w:t>Contrôle des capitaux</w:t>
            </w:r>
          </w:p>
        </w:tc>
        <w:tc>
          <w:tcPr>
            <w:tcW w:w="3940" w:type="dxa"/>
            <w:shd w:val="clear" w:color="auto" w:fill="FAFBFC"/>
            <w:tcMar>
              <w:top w:w="80" w:type="dxa"/>
              <w:left w:w="120" w:type="dxa"/>
              <w:bottom w:w="80" w:type="dxa"/>
              <w:right w:w="120" w:type="dxa"/>
            </w:tcMar>
            <w:vAlign w:val="center"/>
          </w:tcPr>
          <w:p w14:paraId="3A3A59B9" w14:textId="77777777" w:rsidR="005A169D" w:rsidRPr="00D74FD3" w:rsidRDefault="00000000">
            <w:pPr>
              <w:keepNext/>
              <w:spacing w:after="0" w:line="283" w:lineRule="auto"/>
              <w:jc w:val="left"/>
              <w:rPr>
                <w:lang w:val="fr-FR"/>
              </w:rPr>
            </w:pPr>
            <w:r w:rsidRPr="00D74FD3">
              <w:rPr>
                <w:rFonts w:eastAsia="Calibri"/>
                <w:sz w:val="19"/>
                <w:lang w:val="fr-FR"/>
              </w:rPr>
              <w:t>Limite les achats, ventes ou transferts de monnaie.</w:t>
            </w:r>
          </w:p>
        </w:tc>
        <w:tc>
          <w:tcPr>
            <w:tcW w:w="3620" w:type="dxa"/>
            <w:shd w:val="clear" w:color="auto" w:fill="FAFBFC"/>
            <w:tcMar>
              <w:top w:w="80" w:type="dxa"/>
              <w:left w:w="120" w:type="dxa"/>
              <w:bottom w:w="80" w:type="dxa"/>
              <w:right w:w="120" w:type="dxa"/>
            </w:tcMar>
            <w:vAlign w:val="center"/>
          </w:tcPr>
          <w:p w14:paraId="6B90D1DD" w14:textId="77777777" w:rsidR="005A169D" w:rsidRPr="00D74FD3" w:rsidRDefault="00000000">
            <w:pPr>
              <w:keepNext/>
              <w:spacing w:after="0" w:line="283" w:lineRule="auto"/>
              <w:jc w:val="left"/>
              <w:rPr>
                <w:lang w:val="fr-FR"/>
              </w:rPr>
            </w:pPr>
            <w:r w:rsidRPr="00D74FD3">
              <w:rPr>
                <w:rFonts w:eastAsia="Calibri"/>
                <w:sz w:val="19"/>
                <w:lang w:val="fr-FR"/>
              </w:rPr>
              <w:t>Devise locale, liquidité, prix observables et convertibilité.</w:t>
            </w:r>
          </w:p>
        </w:tc>
      </w:tr>
      <w:tr w:rsidR="005A169D" w:rsidRPr="00D74FD3" w14:paraId="716EDC36" w14:textId="77777777">
        <w:trPr>
          <w:cantSplit/>
        </w:trPr>
        <w:tc>
          <w:tcPr>
            <w:tcW w:w="1800" w:type="dxa"/>
            <w:tcMar>
              <w:top w:w="80" w:type="dxa"/>
              <w:left w:w="120" w:type="dxa"/>
              <w:bottom w:w="80" w:type="dxa"/>
              <w:right w:w="120" w:type="dxa"/>
            </w:tcMar>
            <w:vAlign w:val="center"/>
          </w:tcPr>
          <w:p w14:paraId="21752AD0" w14:textId="77777777" w:rsidR="005A169D" w:rsidRDefault="00000000">
            <w:pPr>
              <w:spacing w:after="0" w:line="283" w:lineRule="auto"/>
              <w:jc w:val="left"/>
            </w:pPr>
            <w:r>
              <w:rPr>
                <w:rFonts w:eastAsia="Calibri"/>
                <w:sz w:val="19"/>
              </w:rPr>
              <w:t>Subvention industrielle</w:t>
            </w:r>
          </w:p>
        </w:tc>
        <w:tc>
          <w:tcPr>
            <w:tcW w:w="3940" w:type="dxa"/>
            <w:tcMar>
              <w:top w:w="80" w:type="dxa"/>
              <w:left w:w="120" w:type="dxa"/>
              <w:bottom w:w="80" w:type="dxa"/>
              <w:right w:w="120" w:type="dxa"/>
            </w:tcMar>
            <w:vAlign w:val="center"/>
          </w:tcPr>
          <w:p w14:paraId="26F8278F" w14:textId="77777777" w:rsidR="005A169D" w:rsidRPr="00D74FD3" w:rsidRDefault="00000000">
            <w:pPr>
              <w:spacing w:after="0" w:line="283" w:lineRule="auto"/>
              <w:jc w:val="left"/>
              <w:rPr>
                <w:lang w:val="fr-FR"/>
              </w:rPr>
            </w:pPr>
            <w:r w:rsidRPr="00D74FD3">
              <w:rPr>
                <w:rFonts w:eastAsia="Calibri"/>
                <w:sz w:val="19"/>
                <w:lang w:val="fr-FR"/>
              </w:rPr>
              <w:t>Déplace l'investissement vers une capacité jugée stratégique.</w:t>
            </w:r>
          </w:p>
        </w:tc>
        <w:tc>
          <w:tcPr>
            <w:tcW w:w="3620" w:type="dxa"/>
            <w:tcMar>
              <w:top w:w="80" w:type="dxa"/>
              <w:left w:w="120" w:type="dxa"/>
              <w:bottom w:w="80" w:type="dxa"/>
              <w:right w:w="120" w:type="dxa"/>
            </w:tcMar>
            <w:vAlign w:val="center"/>
          </w:tcPr>
          <w:p w14:paraId="1912630E" w14:textId="77777777" w:rsidR="005A169D" w:rsidRPr="00D74FD3" w:rsidRDefault="00000000">
            <w:pPr>
              <w:spacing w:after="0" w:line="283" w:lineRule="auto"/>
              <w:jc w:val="left"/>
              <w:rPr>
                <w:lang w:val="fr-FR"/>
              </w:rPr>
            </w:pPr>
            <w:r w:rsidRPr="00D74FD3">
              <w:rPr>
                <w:rFonts w:eastAsia="Calibri"/>
                <w:sz w:val="19"/>
                <w:lang w:val="fr-FR"/>
              </w:rPr>
              <w:t>Secteur aidé, concurrents étrangers, dette publique.</w:t>
            </w:r>
          </w:p>
        </w:tc>
      </w:tr>
    </w:tbl>
    <w:p w14:paraId="4502F270" w14:textId="77777777" w:rsidR="005A169D" w:rsidRPr="00D74FD3" w:rsidRDefault="005A169D">
      <w:pPr>
        <w:spacing w:after="100"/>
        <w:rPr>
          <w:lang w:val="fr-FR"/>
        </w:rPr>
      </w:pPr>
    </w:p>
    <w:p w14:paraId="1D1B7F0B" w14:textId="77777777" w:rsidR="005A169D" w:rsidRPr="00D74FD3" w:rsidRDefault="00000000">
      <w:pPr>
        <w:pStyle w:val="Titre2"/>
        <w:rPr>
          <w:lang w:val="fr-FR"/>
        </w:rPr>
      </w:pPr>
      <w:r w:rsidRPr="00D74FD3">
        <w:rPr>
          <w:lang w:val="fr-FR"/>
        </w:rPr>
        <w:t>2.4 Les points de passage stratégiques</w:t>
      </w:r>
    </w:p>
    <w:p w14:paraId="42E57FFE" w14:textId="77777777" w:rsidR="005A169D" w:rsidRPr="00D74FD3" w:rsidRDefault="00000000">
      <w:pPr>
        <w:rPr>
          <w:lang w:val="fr-FR"/>
        </w:rPr>
      </w:pPr>
      <w:r w:rsidRPr="00D74FD3">
        <w:rPr>
          <w:rFonts w:eastAsia="Calibri"/>
          <w:lang w:val="fr-FR"/>
        </w:rPr>
        <w:t>Un point de passage stratégique, ou chokepoint, concentre un grand volume de commerce dans un espace étroit. Le détroit d'Ormuz, Bab el-Mandeb, le canal de Suez, le détroit de Malacca et le canal de Panama en sont des exemples. Leur importance vient moins de leur taille que de la difficulté de détourner rapidement les flux.</w:t>
      </w:r>
    </w:p>
    <w:p w14:paraId="796C198C" w14:textId="77777777" w:rsidR="005A169D" w:rsidRPr="00D74FD3" w:rsidRDefault="00000000">
      <w:pPr>
        <w:keepLines/>
        <w:pBdr>
          <w:left w:val="single" w:sz="18" w:space="8" w:color="8A6400"/>
        </w:pBdr>
        <w:shd w:val="clear" w:color="auto" w:fill="FFF7DD"/>
        <w:spacing w:before="100" w:after="200" w:line="288" w:lineRule="auto"/>
        <w:ind w:left="173" w:right="115"/>
        <w:rPr>
          <w:lang w:val="fr-FR"/>
        </w:rPr>
      </w:pPr>
      <w:r w:rsidRPr="00D74FD3">
        <w:rPr>
          <w:rFonts w:eastAsia="Calibri"/>
          <w:b/>
          <w:color w:val="8A6400"/>
          <w:sz w:val="20"/>
          <w:lang w:val="fr-FR"/>
        </w:rPr>
        <w:t xml:space="preserve">EXEMPLE ORMUZ  </w:t>
      </w:r>
      <w:r w:rsidRPr="00D74FD3">
        <w:rPr>
          <w:rFonts w:eastAsia="Calibri"/>
          <w:sz w:val="21"/>
          <w:lang w:val="fr-FR"/>
        </w:rPr>
        <w:t>D'après l'EIA, environ 20 millions de barils par jour ont transité par le détroit d'Ormuz en 2024, soit près de 20 % de la consommation mondiale de liquides pétroliers. Une menace crédible sur ce passage peut donc affecter le prix du pétrole avant même qu'une fermeture complète ait lieu.</w:t>
      </w:r>
    </w:p>
    <w:p w14:paraId="431D0DBD" w14:textId="77777777" w:rsidR="005A169D" w:rsidRPr="00D74FD3" w:rsidRDefault="00000000">
      <w:pPr>
        <w:rPr>
          <w:lang w:val="fr-FR"/>
        </w:rPr>
      </w:pPr>
      <w:r w:rsidRPr="00D74FD3">
        <w:rPr>
          <w:rFonts w:eastAsia="Calibri"/>
          <w:lang w:val="fr-FR"/>
        </w:rPr>
        <w:t>Mais la réaction dépend encore de la durée attendue, des stocks, de la capacité de production ailleurs, des routes alternatives et de la réponse politique. Un chiffre d'exposition ne suffit pas à prévoir un prix.</w:t>
      </w:r>
    </w:p>
    <w:p w14:paraId="4CA4EB7E" w14:textId="77777777" w:rsidR="005A169D" w:rsidRPr="00D74FD3" w:rsidRDefault="00000000">
      <w:pPr>
        <w:spacing w:before="40" w:after="100"/>
        <w:jc w:val="center"/>
        <w:rPr>
          <w:lang w:val="fr-FR"/>
        </w:rPr>
      </w:pPr>
      <w:r w:rsidRPr="00D74FD3">
        <w:rPr>
          <w:rFonts w:eastAsia="Calibri"/>
          <w:i/>
          <w:color w:val="667085"/>
          <w:sz w:val="17"/>
          <w:lang w:val="fr-FR"/>
        </w:rPr>
        <w:t xml:space="preserve">Sources : </w:t>
      </w:r>
      <w:hyperlink r:id="rId10">
        <w:r w:rsidRPr="00D74FD3">
          <w:rPr>
            <w:color w:val="2E74B5"/>
            <w:u w:val="single"/>
            <w:lang w:val="fr-FR"/>
          </w:rPr>
          <w:t>U.S. EIA — Le détroit d'Ormuz, point de passage critique du pétrole</w:t>
        </w:r>
      </w:hyperlink>
      <w:r w:rsidRPr="00D74FD3">
        <w:rPr>
          <w:rFonts w:eastAsia="Calibri"/>
          <w:color w:val="667085"/>
          <w:sz w:val="17"/>
          <w:lang w:val="fr-FR"/>
        </w:rPr>
        <w:t xml:space="preserve"> · </w:t>
      </w:r>
      <w:hyperlink r:id="rId11">
        <w:r w:rsidRPr="00D74FD3">
          <w:rPr>
            <w:color w:val="2E74B5"/>
            <w:u w:val="single"/>
            <w:lang w:val="fr-FR"/>
          </w:rPr>
          <w:t>FMI — Geopolitics and its Impact on Global Trade and the Dollar, 2024</w:t>
        </w:r>
      </w:hyperlink>
    </w:p>
    <w:p w14:paraId="713D55A0" w14:textId="77777777" w:rsidR="005A169D" w:rsidRPr="00D74FD3" w:rsidRDefault="00000000">
      <w:pPr>
        <w:pStyle w:val="Titre1"/>
        <w:keepNext/>
        <w:spacing w:after="140"/>
        <w:rPr>
          <w:lang w:val="fr-FR"/>
        </w:rPr>
      </w:pPr>
      <w:r>
        <w:rPr>
          <w:rFonts w:eastAsia="Calibri"/>
          <w:b/>
          <w:color w:val="0B2545"/>
          <w:sz w:val="48"/>
          <w:lang w:val="fr-FR"/>
        </w:rPr>
        <w:t>3. Appliquer la chaîne de transmission aux chocs géopolitiques</w:t>
      </w:r>
    </w:p>
    <w:p w14:paraId="590AC765" w14:textId="77777777" w:rsidR="005A169D" w:rsidRPr="00D74FD3" w:rsidRDefault="00000000">
      <w:pPr>
        <w:keepNext/>
        <w:spacing w:after="320"/>
        <w:rPr>
          <w:lang w:val="fr-FR"/>
        </w:rPr>
      </w:pPr>
      <w:r w:rsidRPr="00D74FD3">
        <w:rPr>
          <w:rFonts w:eastAsia="Calibri"/>
          <w:i/>
          <w:color w:val="1F4D78"/>
          <w:sz w:val="26"/>
          <w:lang w:val="fr-FR"/>
        </w:rPr>
        <w:t>Passer du titre spectaculaire au mécanisme économique, étape par étape.</w:t>
      </w:r>
    </w:p>
    <w:p w14:paraId="0D9059AB" w14:textId="77777777" w:rsidR="005A169D" w:rsidRDefault="00000000">
      <w:pPr>
        <w:keepNext/>
        <w:spacing w:before="120" w:after="80"/>
        <w:jc w:val="center"/>
      </w:pPr>
      <w:r>
        <w:rPr>
          <w:noProof/>
        </w:rPr>
        <w:drawing>
          <wp:inline distT="0" distB="0" distL="0" distR="0" wp14:anchorId="6AB95CC7" wp14:editId="6429217F">
            <wp:extent cx="5532120" cy="5013484"/>
            <wp:effectExtent l="0" t="0" r="0" b="0"/>
            <wp:docPr id="1" name="Picture 1" descr="Schéma vertical en six étapes : événement, canal concret, économie réelle, attentes macroéconomiques, primes et flux, prix de marché." title="Figure 1 — Les six étapes qui relient un événement géopolitique au prix d'un a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ne_transmission_geopolitique.png"/>
                    <pic:cNvPicPr/>
                  </pic:nvPicPr>
                  <pic:blipFill>
                    <a:blip r:embed="rId12"/>
                    <a:stretch>
                      <a:fillRect/>
                    </a:stretch>
                  </pic:blipFill>
                  <pic:spPr>
                    <a:xfrm>
                      <a:off x="0" y="0"/>
                      <a:ext cx="5532120" cy="5013484"/>
                    </a:xfrm>
                    <a:prstGeom prst="rect">
                      <a:avLst/>
                    </a:prstGeom>
                  </pic:spPr>
                </pic:pic>
              </a:graphicData>
            </a:graphic>
          </wp:inline>
        </w:drawing>
      </w:r>
    </w:p>
    <w:p w14:paraId="75CC9EC7" w14:textId="77777777" w:rsidR="005A169D" w:rsidRPr="00D74FD3" w:rsidRDefault="00000000">
      <w:pPr>
        <w:keepNext/>
        <w:spacing w:after="0"/>
        <w:jc w:val="center"/>
        <w:rPr>
          <w:lang w:val="fr-FR"/>
        </w:rPr>
      </w:pPr>
      <w:r w:rsidRPr="00D74FD3">
        <w:rPr>
          <w:rFonts w:eastAsia="Calibri"/>
          <w:b/>
          <w:sz w:val="19"/>
          <w:lang w:val="fr-FR"/>
        </w:rPr>
        <w:t>Figure 1 — Les six étapes qui relient un événement géopolitique au prix d'un actif.</w:t>
      </w:r>
    </w:p>
    <w:p w14:paraId="45F43832" w14:textId="77777777" w:rsidR="005A169D" w:rsidRDefault="00000000">
      <w:pPr>
        <w:spacing w:before="40" w:after="100"/>
        <w:jc w:val="center"/>
      </w:pPr>
      <w:r>
        <w:rPr>
          <w:rFonts w:eastAsia="Calibri"/>
          <w:i/>
          <w:color w:val="667085"/>
          <w:sz w:val="17"/>
        </w:rPr>
        <w:t xml:space="preserve">Source : </w:t>
      </w:r>
      <w:hyperlink r:id="rId13">
        <w:r>
          <w:rPr>
            <w:color w:val="2E74B5"/>
            <w:u w:val="single"/>
          </w:rPr>
          <w:t>FMI — Geopolitical Risks: Implications for Asset Prices and Financial Stability, 2025</w:t>
        </w:r>
      </w:hyperlink>
      <w:r>
        <w:rPr>
          <w:rFonts w:eastAsia="Calibri"/>
          <w:color w:val="667085"/>
          <w:sz w:val="17"/>
        </w:rPr>
        <w:t xml:space="preserve"> · </w:t>
      </w:r>
      <w:hyperlink r:id="rId14">
        <w:r>
          <w:rPr>
            <w:color w:val="2E74B5"/>
            <w:u w:val="single"/>
          </w:rPr>
          <w:t>FMI — Geopolitics and its Impact on Global Trade and the Dollar, 2024</w:t>
        </w:r>
      </w:hyperlink>
    </w:p>
    <w:p w14:paraId="451CB267" w14:textId="77777777" w:rsidR="005A169D" w:rsidRPr="00D74FD3" w:rsidRDefault="00000000">
      <w:pPr>
        <w:pStyle w:val="Titre2"/>
        <w:rPr>
          <w:lang w:val="fr-FR"/>
        </w:rPr>
      </w:pPr>
      <w:r w:rsidRPr="00D74FD3">
        <w:rPr>
          <w:lang w:val="fr-FR"/>
        </w:rPr>
        <w:t>3.1 Étape 1 — Identifier le fait</w:t>
      </w:r>
    </w:p>
    <w:p w14:paraId="78F4E3E5" w14:textId="77777777" w:rsidR="005A169D" w:rsidRPr="00D74FD3" w:rsidRDefault="00000000">
      <w:pPr>
        <w:rPr>
          <w:lang w:val="fr-FR"/>
        </w:rPr>
      </w:pPr>
      <w:r w:rsidRPr="00D74FD3">
        <w:rPr>
          <w:rFonts w:eastAsia="Calibri"/>
          <w:lang w:val="fr-FR"/>
        </w:rPr>
        <w:t>Commence par séparer le fait, la déclaration et la rumeur. Une décision publiée dans un texte officiel n'a pas la même valeur qu'un commentaire anonyme. Une attaque revendiquée n'est pas encore la preuve d'une interruption durable. La première erreur du débutant consiste à trader la formulation la plus alarmante avant de connaître le détail opérationnel.</w:t>
      </w:r>
    </w:p>
    <w:p w14:paraId="65D7B729" w14:textId="77777777" w:rsidR="005A169D" w:rsidRPr="00D74FD3" w:rsidRDefault="00000000">
      <w:pPr>
        <w:pStyle w:val="Titre2"/>
        <w:rPr>
          <w:lang w:val="fr-FR"/>
        </w:rPr>
      </w:pPr>
      <w:r w:rsidRPr="00D74FD3">
        <w:rPr>
          <w:lang w:val="fr-FR"/>
        </w:rPr>
        <w:t>3.2 Étape 2 — Nommer le canal</w:t>
      </w:r>
    </w:p>
    <w:p w14:paraId="1F9A7A2F" w14:textId="77777777" w:rsidR="005A169D" w:rsidRPr="00D74FD3" w:rsidRDefault="00000000">
      <w:pPr>
        <w:rPr>
          <w:lang w:val="fr-FR"/>
        </w:rPr>
      </w:pPr>
      <w:r w:rsidRPr="00D74FD3">
        <w:rPr>
          <w:rFonts w:eastAsia="Calibri"/>
          <w:lang w:val="fr-FR"/>
        </w:rPr>
        <w:t>Pose une question concrète : qu'est-ce qui ne peut plus circuler, être vendu, être payé ou être produit comme avant ? Si aucune réponse précise n'apparaît, l'impact économique peut rester limité. Les canaux les plus importants sont l'offre physique, le commerce, le financement, la technologie, le transport et la confiance.</w:t>
      </w:r>
    </w:p>
    <w:p w14:paraId="044E3232" w14:textId="77777777" w:rsidR="005A169D" w:rsidRPr="00D74FD3" w:rsidRDefault="00000000">
      <w:pPr>
        <w:pStyle w:val="Titre2"/>
        <w:rPr>
          <w:lang w:val="fr-FR"/>
        </w:rPr>
      </w:pPr>
      <w:r w:rsidRPr="00D74FD3">
        <w:rPr>
          <w:lang w:val="fr-FR"/>
        </w:rPr>
        <w:t>3.3 Étape 3 — Mesurer l'exposition</w:t>
      </w:r>
    </w:p>
    <w:p w14:paraId="46E868D4" w14:textId="77777777" w:rsidR="005A169D" w:rsidRPr="00D74FD3" w:rsidRDefault="00000000">
      <w:pPr>
        <w:rPr>
          <w:lang w:val="fr-FR"/>
        </w:rPr>
      </w:pPr>
      <w:r w:rsidRPr="00D74FD3">
        <w:rPr>
          <w:rFonts w:eastAsia="Calibri"/>
          <w:lang w:val="fr-FR"/>
        </w:rPr>
        <w:t>L'exposition directe concerne l'actif immédiatement touché : une compagnie aérienne face à un pétrole plus cher, par exemple. L'exposition indirecte passe par les clients, fournisseurs, devises, taux ou concurrents. Une entreprise peut bénéficier du choc sur ses revenus mais souffrir en Bourse parce que le marché avait déjà payé trop cher ce scénario.</w:t>
      </w:r>
    </w:p>
    <w:p w14:paraId="5D0A5D7D" w14:textId="77777777" w:rsidR="005A169D" w:rsidRPr="00D74FD3" w:rsidRDefault="00000000">
      <w:pPr>
        <w:pStyle w:val="Titre2"/>
        <w:rPr>
          <w:lang w:val="fr-FR"/>
        </w:rPr>
      </w:pPr>
      <w:r w:rsidRPr="00D74FD3">
        <w:rPr>
          <w:lang w:val="fr-FR"/>
        </w:rPr>
        <w:t>3.4 Étape 4 — Traduire en croissance et inflation</w:t>
      </w:r>
    </w:p>
    <w:p w14:paraId="71B16165" w14:textId="77777777" w:rsidR="005A169D" w:rsidRPr="00D74FD3" w:rsidRDefault="00000000">
      <w:pPr>
        <w:rPr>
          <w:lang w:val="fr-FR"/>
        </w:rPr>
      </w:pPr>
      <w:r>
        <w:rPr>
          <w:rFonts w:eastAsia="Calibri"/>
          <w:lang w:val="fr-FR"/>
        </w:rPr>
        <w:t>La Partie 2 a présenté les régimes de croissance et d'inflation. Ici, applique ce cadre au choc géopolitique : un choc de demande pèse surtout sur l'activité, tandis qu'un choc d'offre réduit la production disponible et augmente les coûts. Ce dernier peut placer la banque centrale devant un arbitrage plus difficile.</w:t>
      </w:r>
    </w:p>
    <w:p w14:paraId="3CF2497E" w14:textId="77777777" w:rsidR="005A169D" w:rsidRPr="00D74FD3" w:rsidRDefault="00000000">
      <w:pPr>
        <w:pStyle w:val="Titre2"/>
        <w:rPr>
          <w:lang w:val="fr-FR"/>
        </w:rPr>
      </w:pPr>
      <w:r w:rsidRPr="00D74FD3">
        <w:rPr>
          <w:lang w:val="fr-FR"/>
        </w:rPr>
        <w:t>3.5 Étape 5 — Comprendre les taux et la prime de risque</w:t>
      </w:r>
    </w:p>
    <w:p w14:paraId="35FA2C88" w14:textId="77777777" w:rsidR="005A169D" w:rsidRPr="00D74FD3" w:rsidRDefault="00000000">
      <w:pPr>
        <w:rPr>
          <w:lang w:val="fr-FR"/>
        </w:rPr>
      </w:pPr>
      <w:r>
        <w:rPr>
          <w:rFonts w:eastAsia="Calibri"/>
          <w:lang w:val="fr-FR"/>
        </w:rPr>
        <w:t>La Partie 1 a expliqué comment les anticipations de taux atteignent les obligations et les actions. Dans un scénario géopolitique, détermine maintenant quelle force domine : recherche de sécurité, inflation importée, ralentissement de la croissance ou hausse du risque souverain. Il n'existe pas de réaction obligataire universelle.</w:t>
      </w:r>
    </w:p>
    <w:p w14:paraId="598B3B5D" w14:textId="77777777" w:rsidR="005A169D" w:rsidRPr="00D74FD3" w:rsidRDefault="00000000">
      <w:pPr>
        <w:pStyle w:val="Titre2"/>
        <w:rPr>
          <w:lang w:val="fr-FR"/>
        </w:rPr>
      </w:pPr>
      <w:r w:rsidRPr="00D74FD3">
        <w:rPr>
          <w:lang w:val="fr-FR"/>
        </w:rPr>
        <w:t>3.6 Étape 6 — Lire le prix et les flux</w:t>
      </w:r>
    </w:p>
    <w:p w14:paraId="4D715672" w14:textId="77777777" w:rsidR="005A169D" w:rsidRPr="00D74FD3" w:rsidRDefault="00000000">
      <w:pPr>
        <w:rPr>
          <w:lang w:val="fr-FR"/>
        </w:rPr>
      </w:pPr>
      <w:r>
        <w:rPr>
          <w:rFonts w:eastAsia="Calibri"/>
          <w:lang w:val="fr-FR"/>
        </w:rPr>
        <w:t>Le Volume 3 a montré comment le prix et le volume matérialisent les anticipations. Ici, utilise-les pour vérifier le scénario géopolitique : une mauvaise nouvelle peut faire monter le marché si elle est moins grave que prévu, tandis qu'une nouvelle positive peut décevoir si un résultat parfait était déjà intégré.</w:t>
      </w:r>
    </w:p>
    <w:p w14:paraId="100E3054" w14:textId="77777777" w:rsidR="005A169D" w:rsidRPr="00D74FD3" w:rsidRDefault="00000000">
      <w:pPr>
        <w:keepLines/>
        <w:pBdr>
          <w:left w:val="single" w:sz="18" w:space="8" w:color="2E74B5"/>
        </w:pBdr>
        <w:shd w:val="clear" w:color="auto" w:fill="EEF4FA"/>
        <w:spacing w:before="100" w:after="200" w:line="288" w:lineRule="auto"/>
        <w:ind w:left="173" w:right="115"/>
        <w:rPr>
          <w:lang w:val="fr-FR"/>
        </w:rPr>
      </w:pPr>
      <w:r w:rsidRPr="00D74FD3">
        <w:rPr>
          <w:rFonts w:eastAsia="Calibri"/>
          <w:b/>
          <w:color w:val="2E74B5"/>
          <w:sz w:val="20"/>
          <w:lang w:val="fr-FR"/>
        </w:rPr>
        <w:t xml:space="preserve">FORMULE MENTALE  </w:t>
      </w:r>
      <w:r w:rsidRPr="00D74FD3">
        <w:rPr>
          <w:rFonts w:eastAsia="Calibri"/>
          <w:sz w:val="21"/>
          <w:lang w:val="fr-FR"/>
        </w:rPr>
        <w:t>Impact de marché = surprise utile + exposition réelle + durée attendue − capacité d'adaptation − part déjà intégrée dans le prix. Cette phrase n'est pas un calcul ; c'est une grille de réflexion.</w:t>
      </w:r>
    </w:p>
    <w:p w14:paraId="0B60C2FC" w14:textId="77777777" w:rsidR="005A169D" w:rsidRDefault="00000000">
      <w:pPr>
        <w:pStyle w:val="Titre2"/>
      </w:pPr>
      <w:r>
        <w:t>3.7 Six filtres qui déterminent la force de la réaction</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500"/>
        <w:gridCol w:w="3800"/>
        <w:gridCol w:w="4060"/>
      </w:tblGrid>
      <w:tr w:rsidR="005A169D" w14:paraId="7F464D57" w14:textId="77777777">
        <w:trPr>
          <w:cantSplit/>
          <w:tblHeader/>
        </w:trPr>
        <w:tc>
          <w:tcPr>
            <w:tcW w:w="1500" w:type="dxa"/>
            <w:shd w:val="clear" w:color="auto" w:fill="F4F6F9"/>
            <w:tcMar>
              <w:top w:w="80" w:type="dxa"/>
              <w:left w:w="120" w:type="dxa"/>
              <w:bottom w:w="80" w:type="dxa"/>
              <w:right w:w="120" w:type="dxa"/>
            </w:tcMar>
            <w:vAlign w:val="center"/>
          </w:tcPr>
          <w:p w14:paraId="1A25076E" w14:textId="77777777" w:rsidR="005A169D" w:rsidRDefault="00000000">
            <w:pPr>
              <w:keepNext/>
              <w:spacing w:after="0" w:line="283" w:lineRule="auto"/>
              <w:jc w:val="left"/>
            </w:pPr>
            <w:r>
              <w:rPr>
                <w:rFonts w:eastAsia="Calibri"/>
                <w:b/>
                <w:color w:val="0B2545"/>
                <w:sz w:val="19"/>
              </w:rPr>
              <w:t>Filtre</w:t>
            </w:r>
          </w:p>
        </w:tc>
        <w:tc>
          <w:tcPr>
            <w:tcW w:w="3800" w:type="dxa"/>
            <w:shd w:val="clear" w:color="auto" w:fill="F4F6F9"/>
            <w:tcMar>
              <w:top w:w="80" w:type="dxa"/>
              <w:left w:w="120" w:type="dxa"/>
              <w:bottom w:w="80" w:type="dxa"/>
              <w:right w:w="120" w:type="dxa"/>
            </w:tcMar>
            <w:vAlign w:val="center"/>
          </w:tcPr>
          <w:p w14:paraId="199ABE30" w14:textId="77777777" w:rsidR="005A169D" w:rsidRDefault="00000000">
            <w:pPr>
              <w:keepNext/>
              <w:spacing w:after="0" w:line="283" w:lineRule="auto"/>
              <w:jc w:val="left"/>
            </w:pPr>
            <w:r>
              <w:rPr>
                <w:rFonts w:eastAsia="Calibri"/>
                <w:b/>
                <w:color w:val="0B2545"/>
                <w:sz w:val="19"/>
              </w:rPr>
              <w:t>Question</w:t>
            </w:r>
          </w:p>
        </w:tc>
        <w:tc>
          <w:tcPr>
            <w:tcW w:w="4060" w:type="dxa"/>
            <w:shd w:val="clear" w:color="auto" w:fill="F4F6F9"/>
            <w:tcMar>
              <w:top w:w="80" w:type="dxa"/>
              <w:left w:w="120" w:type="dxa"/>
              <w:bottom w:w="80" w:type="dxa"/>
              <w:right w:w="120" w:type="dxa"/>
            </w:tcMar>
            <w:vAlign w:val="center"/>
          </w:tcPr>
          <w:p w14:paraId="607EE5E4" w14:textId="77777777" w:rsidR="005A169D" w:rsidRDefault="00000000">
            <w:pPr>
              <w:keepNext/>
              <w:spacing w:after="0" w:line="283" w:lineRule="auto"/>
              <w:jc w:val="left"/>
            </w:pPr>
            <w:r>
              <w:rPr>
                <w:rFonts w:eastAsia="Calibri"/>
                <w:b/>
                <w:color w:val="0B2545"/>
                <w:sz w:val="19"/>
              </w:rPr>
              <w:t>Pourquoi il compte</w:t>
            </w:r>
          </w:p>
        </w:tc>
      </w:tr>
      <w:tr w:rsidR="005A169D" w14:paraId="663498AF" w14:textId="77777777">
        <w:trPr>
          <w:cantSplit/>
        </w:trPr>
        <w:tc>
          <w:tcPr>
            <w:tcW w:w="1500" w:type="dxa"/>
            <w:tcMar>
              <w:top w:w="80" w:type="dxa"/>
              <w:left w:w="120" w:type="dxa"/>
              <w:bottom w:w="80" w:type="dxa"/>
              <w:right w:w="120" w:type="dxa"/>
            </w:tcMar>
            <w:vAlign w:val="center"/>
          </w:tcPr>
          <w:p w14:paraId="471209ED" w14:textId="77777777" w:rsidR="005A169D" w:rsidRDefault="00000000">
            <w:pPr>
              <w:keepNext/>
              <w:spacing w:after="0" w:line="283" w:lineRule="auto"/>
              <w:jc w:val="left"/>
            </w:pPr>
            <w:r>
              <w:rPr>
                <w:rFonts w:eastAsia="Calibri"/>
                <w:sz w:val="19"/>
              </w:rPr>
              <w:t>Surprise</w:t>
            </w:r>
          </w:p>
        </w:tc>
        <w:tc>
          <w:tcPr>
            <w:tcW w:w="3800" w:type="dxa"/>
            <w:tcMar>
              <w:top w:w="80" w:type="dxa"/>
              <w:left w:w="120" w:type="dxa"/>
              <w:bottom w:w="80" w:type="dxa"/>
              <w:right w:w="120" w:type="dxa"/>
            </w:tcMar>
            <w:vAlign w:val="center"/>
          </w:tcPr>
          <w:p w14:paraId="1A13A4BD" w14:textId="77777777" w:rsidR="005A169D" w:rsidRDefault="00000000">
            <w:pPr>
              <w:keepNext/>
              <w:spacing w:after="0" w:line="283" w:lineRule="auto"/>
              <w:jc w:val="left"/>
            </w:pPr>
            <w:r>
              <w:rPr>
                <w:rFonts w:eastAsia="Calibri"/>
                <w:sz w:val="19"/>
              </w:rPr>
              <w:t>Le marché attendait-il déjà l'événement ?</w:t>
            </w:r>
          </w:p>
        </w:tc>
        <w:tc>
          <w:tcPr>
            <w:tcW w:w="4060" w:type="dxa"/>
            <w:tcMar>
              <w:top w:w="80" w:type="dxa"/>
              <w:left w:w="120" w:type="dxa"/>
              <w:bottom w:w="80" w:type="dxa"/>
              <w:right w:w="120" w:type="dxa"/>
            </w:tcMar>
            <w:vAlign w:val="center"/>
          </w:tcPr>
          <w:p w14:paraId="7EA39FC1" w14:textId="77777777" w:rsidR="005A169D" w:rsidRDefault="00000000">
            <w:pPr>
              <w:keepNext/>
              <w:spacing w:after="0" w:line="283" w:lineRule="auto"/>
              <w:jc w:val="left"/>
            </w:pPr>
            <w:r>
              <w:rPr>
                <w:rFonts w:eastAsia="Calibri"/>
                <w:sz w:val="19"/>
              </w:rPr>
              <w:t>Une surprise impose un repricing plus brutal.</w:t>
            </w:r>
          </w:p>
        </w:tc>
      </w:tr>
      <w:tr w:rsidR="005A169D" w14:paraId="200F4598" w14:textId="77777777">
        <w:trPr>
          <w:cantSplit/>
        </w:trPr>
        <w:tc>
          <w:tcPr>
            <w:tcW w:w="1500" w:type="dxa"/>
            <w:shd w:val="clear" w:color="auto" w:fill="FAFBFC"/>
            <w:tcMar>
              <w:top w:w="80" w:type="dxa"/>
              <w:left w:w="120" w:type="dxa"/>
              <w:bottom w:w="80" w:type="dxa"/>
              <w:right w:w="120" w:type="dxa"/>
            </w:tcMar>
            <w:vAlign w:val="center"/>
          </w:tcPr>
          <w:p w14:paraId="0AD26F3C" w14:textId="77777777" w:rsidR="005A169D" w:rsidRDefault="00000000">
            <w:pPr>
              <w:keepNext/>
              <w:spacing w:after="0" w:line="283" w:lineRule="auto"/>
              <w:jc w:val="left"/>
            </w:pPr>
            <w:r>
              <w:rPr>
                <w:rFonts w:eastAsia="Calibri"/>
                <w:sz w:val="19"/>
              </w:rPr>
              <w:t>Taille</w:t>
            </w:r>
          </w:p>
        </w:tc>
        <w:tc>
          <w:tcPr>
            <w:tcW w:w="3800" w:type="dxa"/>
            <w:shd w:val="clear" w:color="auto" w:fill="FAFBFC"/>
            <w:tcMar>
              <w:top w:w="80" w:type="dxa"/>
              <w:left w:w="120" w:type="dxa"/>
              <w:bottom w:w="80" w:type="dxa"/>
              <w:right w:w="120" w:type="dxa"/>
            </w:tcMar>
            <w:vAlign w:val="center"/>
          </w:tcPr>
          <w:p w14:paraId="4601F55D" w14:textId="77777777" w:rsidR="005A169D" w:rsidRDefault="00000000">
            <w:pPr>
              <w:keepNext/>
              <w:spacing w:after="0" w:line="283" w:lineRule="auto"/>
              <w:jc w:val="left"/>
            </w:pPr>
            <w:r>
              <w:rPr>
                <w:rFonts w:eastAsia="Calibri"/>
                <w:sz w:val="19"/>
              </w:rPr>
              <w:t>Quel volume, revenu ou financement est réellement touché ?</w:t>
            </w:r>
          </w:p>
        </w:tc>
        <w:tc>
          <w:tcPr>
            <w:tcW w:w="4060" w:type="dxa"/>
            <w:shd w:val="clear" w:color="auto" w:fill="FAFBFC"/>
            <w:tcMar>
              <w:top w:w="80" w:type="dxa"/>
              <w:left w:w="120" w:type="dxa"/>
              <w:bottom w:w="80" w:type="dxa"/>
              <w:right w:w="120" w:type="dxa"/>
            </w:tcMar>
            <w:vAlign w:val="center"/>
          </w:tcPr>
          <w:p w14:paraId="542EBCD6" w14:textId="77777777" w:rsidR="005A169D" w:rsidRDefault="00000000">
            <w:pPr>
              <w:keepNext/>
              <w:spacing w:after="0" w:line="283" w:lineRule="auto"/>
              <w:jc w:val="left"/>
            </w:pPr>
            <w:r>
              <w:rPr>
                <w:rFonts w:eastAsia="Calibri"/>
                <w:sz w:val="19"/>
              </w:rPr>
              <w:t>Un titre spectaculaire peut représenter une faible exposition.</w:t>
            </w:r>
          </w:p>
        </w:tc>
      </w:tr>
      <w:tr w:rsidR="005A169D" w14:paraId="78BAF457" w14:textId="77777777">
        <w:trPr>
          <w:cantSplit/>
        </w:trPr>
        <w:tc>
          <w:tcPr>
            <w:tcW w:w="1500" w:type="dxa"/>
            <w:tcMar>
              <w:top w:w="80" w:type="dxa"/>
              <w:left w:w="120" w:type="dxa"/>
              <w:bottom w:w="80" w:type="dxa"/>
              <w:right w:w="120" w:type="dxa"/>
            </w:tcMar>
            <w:vAlign w:val="center"/>
          </w:tcPr>
          <w:p w14:paraId="04EDA89F" w14:textId="77777777" w:rsidR="005A169D" w:rsidRDefault="00000000">
            <w:pPr>
              <w:keepNext/>
              <w:spacing w:after="0" w:line="283" w:lineRule="auto"/>
              <w:jc w:val="left"/>
            </w:pPr>
            <w:r>
              <w:rPr>
                <w:rFonts w:eastAsia="Calibri"/>
                <w:sz w:val="19"/>
              </w:rPr>
              <w:t>Durée</w:t>
            </w:r>
          </w:p>
        </w:tc>
        <w:tc>
          <w:tcPr>
            <w:tcW w:w="3800" w:type="dxa"/>
            <w:tcMar>
              <w:top w:w="80" w:type="dxa"/>
              <w:left w:w="120" w:type="dxa"/>
              <w:bottom w:w="80" w:type="dxa"/>
              <w:right w:w="120" w:type="dxa"/>
            </w:tcMar>
            <w:vAlign w:val="center"/>
          </w:tcPr>
          <w:p w14:paraId="2C6A8B6B" w14:textId="77777777" w:rsidR="005A169D" w:rsidRDefault="00000000">
            <w:pPr>
              <w:keepNext/>
              <w:spacing w:after="0" w:line="283" w:lineRule="auto"/>
              <w:jc w:val="left"/>
            </w:pPr>
            <w:r>
              <w:rPr>
                <w:rFonts w:eastAsia="Calibri"/>
                <w:sz w:val="19"/>
              </w:rPr>
              <w:t>Le choc dure-t-il des heures, des mois ou des années ?</w:t>
            </w:r>
          </w:p>
        </w:tc>
        <w:tc>
          <w:tcPr>
            <w:tcW w:w="4060" w:type="dxa"/>
            <w:tcMar>
              <w:top w:w="80" w:type="dxa"/>
              <w:left w:w="120" w:type="dxa"/>
              <w:bottom w:w="80" w:type="dxa"/>
              <w:right w:w="120" w:type="dxa"/>
            </w:tcMar>
            <w:vAlign w:val="center"/>
          </w:tcPr>
          <w:p w14:paraId="0E734F6E" w14:textId="77777777" w:rsidR="005A169D" w:rsidRDefault="00000000">
            <w:pPr>
              <w:keepNext/>
              <w:spacing w:after="0" w:line="283" w:lineRule="auto"/>
              <w:jc w:val="left"/>
            </w:pPr>
            <w:r>
              <w:rPr>
                <w:rFonts w:eastAsia="Calibri"/>
                <w:sz w:val="19"/>
              </w:rPr>
              <w:t>La durée transforme un pic en tendance.</w:t>
            </w:r>
          </w:p>
        </w:tc>
      </w:tr>
      <w:tr w:rsidR="005A169D" w14:paraId="0671B738" w14:textId="77777777">
        <w:trPr>
          <w:cantSplit/>
        </w:trPr>
        <w:tc>
          <w:tcPr>
            <w:tcW w:w="1500" w:type="dxa"/>
            <w:shd w:val="clear" w:color="auto" w:fill="FAFBFC"/>
            <w:tcMar>
              <w:top w:w="80" w:type="dxa"/>
              <w:left w:w="120" w:type="dxa"/>
              <w:bottom w:w="80" w:type="dxa"/>
              <w:right w:w="120" w:type="dxa"/>
            </w:tcMar>
            <w:vAlign w:val="center"/>
          </w:tcPr>
          <w:p w14:paraId="373CB574" w14:textId="77777777" w:rsidR="005A169D" w:rsidRDefault="00000000">
            <w:pPr>
              <w:keepNext/>
              <w:spacing w:after="0" w:line="283" w:lineRule="auto"/>
              <w:jc w:val="left"/>
            </w:pPr>
            <w:r>
              <w:rPr>
                <w:rFonts w:eastAsia="Calibri"/>
                <w:sz w:val="19"/>
              </w:rPr>
              <w:t>Substitution</w:t>
            </w:r>
          </w:p>
        </w:tc>
        <w:tc>
          <w:tcPr>
            <w:tcW w:w="3800" w:type="dxa"/>
            <w:shd w:val="clear" w:color="auto" w:fill="FAFBFC"/>
            <w:tcMar>
              <w:top w:w="80" w:type="dxa"/>
              <w:left w:w="120" w:type="dxa"/>
              <w:bottom w:w="80" w:type="dxa"/>
              <w:right w:w="120" w:type="dxa"/>
            </w:tcMar>
            <w:vAlign w:val="center"/>
          </w:tcPr>
          <w:p w14:paraId="2F09E2C2" w14:textId="77777777" w:rsidR="005A169D" w:rsidRDefault="00000000">
            <w:pPr>
              <w:keepNext/>
              <w:spacing w:after="0" w:line="283" w:lineRule="auto"/>
              <w:jc w:val="left"/>
            </w:pPr>
            <w:r>
              <w:rPr>
                <w:rFonts w:eastAsia="Calibri"/>
                <w:sz w:val="19"/>
              </w:rPr>
              <w:t>Existe-t-il une autre route, un autre fournisseur ou un stock ?</w:t>
            </w:r>
          </w:p>
        </w:tc>
        <w:tc>
          <w:tcPr>
            <w:tcW w:w="4060" w:type="dxa"/>
            <w:shd w:val="clear" w:color="auto" w:fill="FAFBFC"/>
            <w:tcMar>
              <w:top w:w="80" w:type="dxa"/>
              <w:left w:w="120" w:type="dxa"/>
              <w:bottom w:w="80" w:type="dxa"/>
              <w:right w:w="120" w:type="dxa"/>
            </w:tcMar>
            <w:vAlign w:val="center"/>
          </w:tcPr>
          <w:p w14:paraId="294CE81F" w14:textId="77777777" w:rsidR="005A169D" w:rsidRDefault="00000000">
            <w:pPr>
              <w:keepNext/>
              <w:spacing w:after="0" w:line="283" w:lineRule="auto"/>
              <w:jc w:val="left"/>
            </w:pPr>
            <w:r>
              <w:rPr>
                <w:rFonts w:eastAsia="Calibri"/>
                <w:sz w:val="19"/>
              </w:rPr>
              <w:t>L'adaptation limite le dommage.</w:t>
            </w:r>
          </w:p>
        </w:tc>
      </w:tr>
      <w:tr w:rsidR="005A169D" w14:paraId="0D60F6B3" w14:textId="77777777">
        <w:trPr>
          <w:cantSplit/>
        </w:trPr>
        <w:tc>
          <w:tcPr>
            <w:tcW w:w="1500" w:type="dxa"/>
            <w:tcMar>
              <w:top w:w="80" w:type="dxa"/>
              <w:left w:w="120" w:type="dxa"/>
              <w:bottom w:w="80" w:type="dxa"/>
              <w:right w:w="120" w:type="dxa"/>
            </w:tcMar>
            <w:vAlign w:val="center"/>
          </w:tcPr>
          <w:p w14:paraId="538E9D89" w14:textId="77777777" w:rsidR="005A169D" w:rsidRDefault="00000000">
            <w:pPr>
              <w:keepNext/>
              <w:spacing w:after="0" w:line="283" w:lineRule="auto"/>
              <w:jc w:val="left"/>
            </w:pPr>
            <w:r>
              <w:rPr>
                <w:rFonts w:eastAsia="Calibri"/>
                <w:sz w:val="19"/>
              </w:rPr>
              <w:t>Réponse publique</w:t>
            </w:r>
          </w:p>
        </w:tc>
        <w:tc>
          <w:tcPr>
            <w:tcW w:w="3800" w:type="dxa"/>
            <w:tcMar>
              <w:top w:w="80" w:type="dxa"/>
              <w:left w:w="120" w:type="dxa"/>
              <w:bottom w:w="80" w:type="dxa"/>
              <w:right w:w="120" w:type="dxa"/>
            </w:tcMar>
            <w:vAlign w:val="center"/>
          </w:tcPr>
          <w:p w14:paraId="213E6178" w14:textId="77777777" w:rsidR="005A169D" w:rsidRDefault="00000000">
            <w:pPr>
              <w:keepNext/>
              <w:spacing w:after="0" w:line="283" w:lineRule="auto"/>
              <w:jc w:val="left"/>
            </w:pPr>
            <w:r>
              <w:rPr>
                <w:rFonts w:eastAsia="Calibri"/>
                <w:sz w:val="19"/>
              </w:rPr>
              <w:t>Les États, banques centrales ou producteurs peuvent-ils intervenir ?</w:t>
            </w:r>
          </w:p>
        </w:tc>
        <w:tc>
          <w:tcPr>
            <w:tcW w:w="4060" w:type="dxa"/>
            <w:tcMar>
              <w:top w:w="80" w:type="dxa"/>
              <w:left w:w="120" w:type="dxa"/>
              <w:bottom w:w="80" w:type="dxa"/>
              <w:right w:w="120" w:type="dxa"/>
            </w:tcMar>
            <w:vAlign w:val="center"/>
          </w:tcPr>
          <w:p w14:paraId="712E041E" w14:textId="77777777" w:rsidR="005A169D" w:rsidRDefault="00000000">
            <w:pPr>
              <w:keepNext/>
              <w:spacing w:after="0" w:line="283" w:lineRule="auto"/>
              <w:jc w:val="left"/>
            </w:pPr>
            <w:r>
              <w:rPr>
                <w:rFonts w:eastAsia="Calibri"/>
                <w:sz w:val="19"/>
              </w:rPr>
              <w:t>La politique peut absorber ou amplifier le choc.</w:t>
            </w:r>
          </w:p>
        </w:tc>
      </w:tr>
      <w:tr w:rsidR="005A169D" w14:paraId="2FFEEEEA" w14:textId="77777777">
        <w:trPr>
          <w:cantSplit/>
        </w:trPr>
        <w:tc>
          <w:tcPr>
            <w:tcW w:w="1500" w:type="dxa"/>
            <w:shd w:val="clear" w:color="auto" w:fill="FAFBFC"/>
            <w:tcMar>
              <w:top w:w="80" w:type="dxa"/>
              <w:left w:w="120" w:type="dxa"/>
              <w:bottom w:w="80" w:type="dxa"/>
              <w:right w:w="120" w:type="dxa"/>
            </w:tcMar>
            <w:vAlign w:val="center"/>
          </w:tcPr>
          <w:p w14:paraId="5BE4F7FC" w14:textId="77777777" w:rsidR="005A169D" w:rsidRDefault="00000000">
            <w:pPr>
              <w:spacing w:after="0" w:line="283" w:lineRule="auto"/>
              <w:jc w:val="left"/>
            </w:pPr>
            <w:r>
              <w:rPr>
                <w:rFonts w:eastAsia="Calibri"/>
                <w:sz w:val="19"/>
              </w:rPr>
              <w:t>Positionnement</w:t>
            </w:r>
          </w:p>
        </w:tc>
        <w:tc>
          <w:tcPr>
            <w:tcW w:w="3800" w:type="dxa"/>
            <w:shd w:val="clear" w:color="auto" w:fill="FAFBFC"/>
            <w:tcMar>
              <w:top w:w="80" w:type="dxa"/>
              <w:left w:w="120" w:type="dxa"/>
              <w:bottom w:w="80" w:type="dxa"/>
              <w:right w:w="120" w:type="dxa"/>
            </w:tcMar>
            <w:vAlign w:val="center"/>
          </w:tcPr>
          <w:p w14:paraId="7A0A58E8" w14:textId="77777777" w:rsidR="005A169D" w:rsidRDefault="00000000">
            <w:pPr>
              <w:spacing w:after="0" w:line="283" w:lineRule="auto"/>
              <w:jc w:val="left"/>
            </w:pPr>
            <w:r>
              <w:rPr>
                <w:rFonts w:eastAsia="Calibri"/>
                <w:sz w:val="19"/>
              </w:rPr>
              <w:t>Les investisseurs sont-ils déjà couverts ou concentrés ?</w:t>
            </w:r>
          </w:p>
        </w:tc>
        <w:tc>
          <w:tcPr>
            <w:tcW w:w="4060" w:type="dxa"/>
            <w:shd w:val="clear" w:color="auto" w:fill="FAFBFC"/>
            <w:tcMar>
              <w:top w:w="80" w:type="dxa"/>
              <w:left w:w="120" w:type="dxa"/>
              <w:bottom w:w="80" w:type="dxa"/>
              <w:right w:w="120" w:type="dxa"/>
            </w:tcMar>
            <w:vAlign w:val="center"/>
          </w:tcPr>
          <w:p w14:paraId="7A01BEBA" w14:textId="77777777" w:rsidR="005A169D" w:rsidRDefault="00000000">
            <w:pPr>
              <w:spacing w:after="0" w:line="283" w:lineRule="auto"/>
              <w:jc w:val="left"/>
            </w:pPr>
            <w:r>
              <w:rPr>
                <w:rFonts w:eastAsia="Calibri"/>
                <w:sz w:val="19"/>
              </w:rPr>
              <w:t>Les rachats forcés et appels de marge amplifient les bougies.</w:t>
            </w:r>
          </w:p>
        </w:tc>
      </w:tr>
    </w:tbl>
    <w:p w14:paraId="62205EE6" w14:textId="77777777" w:rsidR="005A169D" w:rsidRDefault="005A169D">
      <w:pPr>
        <w:spacing w:after="100"/>
      </w:pPr>
    </w:p>
    <w:p w14:paraId="0EE579DF" w14:textId="77777777" w:rsidR="005A169D" w:rsidRDefault="00000000">
      <w:pPr>
        <w:pStyle w:val="Titre2"/>
      </w:pPr>
      <w:r>
        <w:t>3.8 Les effets de premier, deuxième et troisième ordre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550"/>
        <w:gridCol w:w="3440"/>
        <w:gridCol w:w="4370"/>
      </w:tblGrid>
      <w:tr w:rsidR="005A169D" w14:paraId="0E902E56" w14:textId="77777777">
        <w:trPr>
          <w:cantSplit/>
          <w:tblHeader/>
        </w:trPr>
        <w:tc>
          <w:tcPr>
            <w:tcW w:w="1550" w:type="dxa"/>
            <w:shd w:val="clear" w:color="auto" w:fill="F4F6F9"/>
            <w:tcMar>
              <w:top w:w="80" w:type="dxa"/>
              <w:left w:w="120" w:type="dxa"/>
              <w:bottom w:w="80" w:type="dxa"/>
              <w:right w:w="120" w:type="dxa"/>
            </w:tcMar>
            <w:vAlign w:val="center"/>
          </w:tcPr>
          <w:p w14:paraId="14810B19" w14:textId="77777777" w:rsidR="005A169D" w:rsidRDefault="00000000">
            <w:pPr>
              <w:keepNext/>
              <w:spacing w:after="0" w:line="283" w:lineRule="auto"/>
              <w:jc w:val="left"/>
            </w:pPr>
            <w:r>
              <w:rPr>
                <w:rFonts w:eastAsia="Calibri"/>
                <w:b/>
                <w:color w:val="0B2545"/>
                <w:sz w:val="19"/>
              </w:rPr>
              <w:t>Ordre</w:t>
            </w:r>
          </w:p>
        </w:tc>
        <w:tc>
          <w:tcPr>
            <w:tcW w:w="3440" w:type="dxa"/>
            <w:shd w:val="clear" w:color="auto" w:fill="F4F6F9"/>
            <w:tcMar>
              <w:top w:w="80" w:type="dxa"/>
              <w:left w:w="120" w:type="dxa"/>
              <w:bottom w:w="80" w:type="dxa"/>
              <w:right w:w="120" w:type="dxa"/>
            </w:tcMar>
            <w:vAlign w:val="center"/>
          </w:tcPr>
          <w:p w14:paraId="35938291" w14:textId="77777777" w:rsidR="005A169D" w:rsidRDefault="00000000">
            <w:pPr>
              <w:keepNext/>
              <w:spacing w:after="0" w:line="283" w:lineRule="auto"/>
              <w:jc w:val="left"/>
            </w:pPr>
            <w:r>
              <w:rPr>
                <w:rFonts w:eastAsia="Calibri"/>
                <w:b/>
                <w:color w:val="0B2545"/>
                <w:sz w:val="19"/>
              </w:rPr>
              <w:t>Question</w:t>
            </w:r>
          </w:p>
        </w:tc>
        <w:tc>
          <w:tcPr>
            <w:tcW w:w="4370" w:type="dxa"/>
            <w:shd w:val="clear" w:color="auto" w:fill="F4F6F9"/>
            <w:tcMar>
              <w:top w:w="80" w:type="dxa"/>
              <w:left w:w="120" w:type="dxa"/>
              <w:bottom w:w="80" w:type="dxa"/>
              <w:right w:w="120" w:type="dxa"/>
            </w:tcMar>
            <w:vAlign w:val="center"/>
          </w:tcPr>
          <w:p w14:paraId="7704CF43" w14:textId="77777777" w:rsidR="005A169D" w:rsidRDefault="00000000">
            <w:pPr>
              <w:keepNext/>
              <w:spacing w:after="0" w:line="283" w:lineRule="auto"/>
              <w:jc w:val="left"/>
            </w:pPr>
            <w:r>
              <w:rPr>
                <w:rFonts w:eastAsia="Calibri"/>
                <w:b/>
                <w:color w:val="0B2545"/>
                <w:sz w:val="19"/>
              </w:rPr>
              <w:t>Exemple : pétrole plus cher</w:t>
            </w:r>
          </w:p>
        </w:tc>
      </w:tr>
      <w:tr w:rsidR="005A169D" w14:paraId="4A2EB259" w14:textId="77777777">
        <w:trPr>
          <w:cantSplit/>
        </w:trPr>
        <w:tc>
          <w:tcPr>
            <w:tcW w:w="1550" w:type="dxa"/>
            <w:tcMar>
              <w:top w:w="80" w:type="dxa"/>
              <w:left w:w="120" w:type="dxa"/>
              <w:bottom w:w="80" w:type="dxa"/>
              <w:right w:w="120" w:type="dxa"/>
            </w:tcMar>
            <w:vAlign w:val="center"/>
          </w:tcPr>
          <w:p w14:paraId="4C4E496C" w14:textId="77777777" w:rsidR="005A169D" w:rsidRDefault="00000000">
            <w:pPr>
              <w:keepNext/>
              <w:spacing w:after="0" w:line="283" w:lineRule="auto"/>
              <w:jc w:val="left"/>
            </w:pPr>
            <w:r>
              <w:rPr>
                <w:rFonts w:eastAsia="Calibri"/>
                <w:sz w:val="19"/>
              </w:rPr>
              <w:t>Premier ordre</w:t>
            </w:r>
          </w:p>
        </w:tc>
        <w:tc>
          <w:tcPr>
            <w:tcW w:w="3440" w:type="dxa"/>
            <w:tcMar>
              <w:top w:w="80" w:type="dxa"/>
              <w:left w:w="120" w:type="dxa"/>
              <w:bottom w:w="80" w:type="dxa"/>
              <w:right w:w="120" w:type="dxa"/>
            </w:tcMar>
            <w:vAlign w:val="center"/>
          </w:tcPr>
          <w:p w14:paraId="72638634" w14:textId="77777777" w:rsidR="005A169D" w:rsidRDefault="00000000">
            <w:pPr>
              <w:keepNext/>
              <w:spacing w:after="0" w:line="283" w:lineRule="auto"/>
              <w:jc w:val="left"/>
            </w:pPr>
            <w:r>
              <w:rPr>
                <w:rFonts w:eastAsia="Calibri"/>
                <w:sz w:val="19"/>
              </w:rPr>
              <w:t>Quel prix bouge directement ?</w:t>
            </w:r>
          </w:p>
        </w:tc>
        <w:tc>
          <w:tcPr>
            <w:tcW w:w="4370" w:type="dxa"/>
            <w:tcMar>
              <w:top w:w="80" w:type="dxa"/>
              <w:left w:w="120" w:type="dxa"/>
              <w:bottom w:w="80" w:type="dxa"/>
              <w:right w:w="120" w:type="dxa"/>
            </w:tcMar>
            <w:vAlign w:val="center"/>
          </w:tcPr>
          <w:p w14:paraId="6F206E27" w14:textId="77777777" w:rsidR="005A169D" w:rsidRDefault="00000000">
            <w:pPr>
              <w:keepNext/>
              <w:spacing w:after="0" w:line="283" w:lineRule="auto"/>
              <w:jc w:val="left"/>
            </w:pPr>
            <w:r>
              <w:rPr>
                <w:rFonts w:eastAsia="Calibri"/>
                <w:sz w:val="19"/>
              </w:rPr>
              <w:t>Hausse du Brent et des producteurs d'énergie.</w:t>
            </w:r>
          </w:p>
        </w:tc>
      </w:tr>
      <w:tr w:rsidR="005A169D" w14:paraId="3D44AF75" w14:textId="77777777">
        <w:trPr>
          <w:cantSplit/>
        </w:trPr>
        <w:tc>
          <w:tcPr>
            <w:tcW w:w="1550" w:type="dxa"/>
            <w:shd w:val="clear" w:color="auto" w:fill="FAFBFC"/>
            <w:tcMar>
              <w:top w:w="80" w:type="dxa"/>
              <w:left w:w="120" w:type="dxa"/>
              <w:bottom w:w="80" w:type="dxa"/>
              <w:right w:w="120" w:type="dxa"/>
            </w:tcMar>
            <w:vAlign w:val="center"/>
          </w:tcPr>
          <w:p w14:paraId="7C7CD49F" w14:textId="77777777" w:rsidR="005A169D" w:rsidRDefault="00000000">
            <w:pPr>
              <w:keepNext/>
              <w:spacing w:after="0" w:line="283" w:lineRule="auto"/>
              <w:jc w:val="left"/>
            </w:pPr>
            <w:r>
              <w:rPr>
                <w:rFonts w:eastAsia="Calibri"/>
                <w:sz w:val="19"/>
              </w:rPr>
              <w:t>Deuxième ordre</w:t>
            </w:r>
          </w:p>
        </w:tc>
        <w:tc>
          <w:tcPr>
            <w:tcW w:w="3440" w:type="dxa"/>
            <w:shd w:val="clear" w:color="auto" w:fill="FAFBFC"/>
            <w:tcMar>
              <w:top w:w="80" w:type="dxa"/>
              <w:left w:w="120" w:type="dxa"/>
              <w:bottom w:w="80" w:type="dxa"/>
              <w:right w:w="120" w:type="dxa"/>
            </w:tcMar>
            <w:vAlign w:val="center"/>
          </w:tcPr>
          <w:p w14:paraId="5BF5E53A" w14:textId="77777777" w:rsidR="005A169D" w:rsidRDefault="00000000">
            <w:pPr>
              <w:keepNext/>
              <w:spacing w:after="0" w:line="283" w:lineRule="auto"/>
              <w:jc w:val="left"/>
            </w:pPr>
            <w:r>
              <w:rPr>
                <w:rFonts w:eastAsia="Calibri"/>
                <w:sz w:val="19"/>
              </w:rPr>
              <w:t>Qui paie ou bénéficie de ce nouveau prix ?</w:t>
            </w:r>
          </w:p>
        </w:tc>
        <w:tc>
          <w:tcPr>
            <w:tcW w:w="4370" w:type="dxa"/>
            <w:shd w:val="clear" w:color="auto" w:fill="FAFBFC"/>
            <w:tcMar>
              <w:top w:w="80" w:type="dxa"/>
              <w:left w:w="120" w:type="dxa"/>
              <w:bottom w:w="80" w:type="dxa"/>
              <w:right w:w="120" w:type="dxa"/>
            </w:tcMar>
            <w:vAlign w:val="center"/>
          </w:tcPr>
          <w:p w14:paraId="0367B984" w14:textId="77777777" w:rsidR="005A169D" w:rsidRDefault="00000000">
            <w:pPr>
              <w:keepNext/>
              <w:spacing w:after="0" w:line="283" w:lineRule="auto"/>
              <w:jc w:val="left"/>
            </w:pPr>
            <w:r>
              <w:rPr>
                <w:rFonts w:eastAsia="Calibri"/>
                <w:sz w:val="19"/>
              </w:rPr>
              <w:t>Pression sur transport, chimie et revenu des ménages.</w:t>
            </w:r>
          </w:p>
        </w:tc>
      </w:tr>
      <w:tr w:rsidR="005A169D" w14:paraId="06F9AAB6" w14:textId="77777777">
        <w:trPr>
          <w:cantSplit/>
        </w:trPr>
        <w:tc>
          <w:tcPr>
            <w:tcW w:w="1550" w:type="dxa"/>
            <w:tcMar>
              <w:top w:w="80" w:type="dxa"/>
              <w:left w:w="120" w:type="dxa"/>
              <w:bottom w:w="80" w:type="dxa"/>
              <w:right w:w="120" w:type="dxa"/>
            </w:tcMar>
            <w:vAlign w:val="center"/>
          </w:tcPr>
          <w:p w14:paraId="0F0BDF51" w14:textId="77777777" w:rsidR="005A169D" w:rsidRDefault="00000000">
            <w:pPr>
              <w:spacing w:after="0" w:line="283" w:lineRule="auto"/>
              <w:jc w:val="left"/>
            </w:pPr>
            <w:r>
              <w:rPr>
                <w:rFonts w:eastAsia="Calibri"/>
                <w:sz w:val="19"/>
              </w:rPr>
              <w:t>Troisième ordre</w:t>
            </w:r>
          </w:p>
        </w:tc>
        <w:tc>
          <w:tcPr>
            <w:tcW w:w="3440" w:type="dxa"/>
            <w:tcMar>
              <w:top w:w="80" w:type="dxa"/>
              <w:left w:w="120" w:type="dxa"/>
              <w:bottom w:w="80" w:type="dxa"/>
              <w:right w:w="120" w:type="dxa"/>
            </w:tcMar>
            <w:vAlign w:val="center"/>
          </w:tcPr>
          <w:p w14:paraId="5582E8A9" w14:textId="77777777" w:rsidR="005A169D" w:rsidRDefault="00000000">
            <w:pPr>
              <w:spacing w:after="0" w:line="283" w:lineRule="auto"/>
              <w:jc w:val="left"/>
            </w:pPr>
            <w:r>
              <w:rPr>
                <w:rFonts w:eastAsia="Calibri"/>
                <w:sz w:val="19"/>
              </w:rPr>
              <w:t>Quelle réponse macro ou politique apparaît ?</w:t>
            </w:r>
          </w:p>
        </w:tc>
        <w:tc>
          <w:tcPr>
            <w:tcW w:w="4370" w:type="dxa"/>
            <w:tcMar>
              <w:top w:w="80" w:type="dxa"/>
              <w:left w:w="120" w:type="dxa"/>
              <w:bottom w:w="80" w:type="dxa"/>
              <w:right w:w="120" w:type="dxa"/>
            </w:tcMar>
            <w:vAlign w:val="center"/>
          </w:tcPr>
          <w:p w14:paraId="1A248B1E" w14:textId="77777777" w:rsidR="005A169D" w:rsidRDefault="00000000">
            <w:pPr>
              <w:spacing w:after="0" w:line="283" w:lineRule="auto"/>
              <w:jc w:val="left"/>
            </w:pPr>
            <w:r>
              <w:rPr>
                <w:rFonts w:eastAsia="Calibri"/>
                <w:sz w:val="19"/>
              </w:rPr>
              <w:t>Inflation plus forte, taux plus élevés, consommation plus faible.</w:t>
            </w:r>
          </w:p>
        </w:tc>
      </w:tr>
    </w:tbl>
    <w:p w14:paraId="3316AD0F" w14:textId="77777777" w:rsidR="005A169D" w:rsidRDefault="005A169D">
      <w:pPr>
        <w:spacing w:after="100"/>
      </w:pPr>
    </w:p>
    <w:p w14:paraId="07F9E0FC"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PIÈGE CLASSIQUE  </w:t>
      </w:r>
      <w:r>
        <w:rPr>
          <w:rFonts w:eastAsia="Calibri"/>
          <w:sz w:val="21"/>
        </w:rPr>
        <w:t>S'arrêter au premier ordre. Les réactions les plus durables apparaissent souvent lorsque le choc atteint les marges, l'inflation, les taux et le crédit.</w:t>
      </w:r>
    </w:p>
    <w:p w14:paraId="56A0DE3B" w14:textId="77777777" w:rsidR="005A169D" w:rsidRDefault="00000000">
      <w:pPr>
        <w:pStyle w:val="Titre1"/>
        <w:keepNext/>
        <w:spacing w:after="140"/>
      </w:pPr>
      <w:r>
        <w:rPr>
          <w:rFonts w:eastAsia="Calibri"/>
          <w:b/>
          <w:color w:val="0B2545"/>
          <w:sz w:val="48"/>
        </w:rPr>
        <w:t>4. Lire l'effet géopolitique sur chaque classe d'actifs</w:t>
      </w:r>
    </w:p>
    <w:p w14:paraId="747A6834" w14:textId="77777777" w:rsidR="005A169D" w:rsidRDefault="00000000">
      <w:pPr>
        <w:keepNext/>
        <w:spacing w:after="320"/>
      </w:pPr>
      <w:r>
        <w:rPr>
          <w:rFonts w:eastAsia="Calibri"/>
          <w:i/>
          <w:color w:val="1F4D78"/>
          <w:sz w:val="26"/>
        </w:rPr>
        <w:t>Le même événement peut produire des signaux opposés selon le marché observé.</w:t>
      </w:r>
    </w:p>
    <w:p w14:paraId="16FC8CE0" w14:textId="77777777" w:rsidR="005A169D" w:rsidRDefault="00000000">
      <w:pPr>
        <w:pStyle w:val="Titre2"/>
      </w:pPr>
      <w:r>
        <w:t>4.1 Pétrole, gaz et matières premières</w:t>
      </w:r>
    </w:p>
    <w:p w14:paraId="71B53C1F" w14:textId="77777777" w:rsidR="005A169D" w:rsidRDefault="00000000">
      <w:r>
        <w:rPr>
          <w:rFonts w:eastAsia="Calibri"/>
        </w:rPr>
        <w:t>Les matières premières réagissent d'abord à l'équilibre physique entre offre, demande, stocks et capacité inutilisée. Une tension au Moyen-Orient ne suffit pas : le marché cherche à savoir si des barils sont réellement retirés, pendant combien de temps et avec quelles solutions de remplacement.</w:t>
      </w:r>
    </w:p>
    <w:p w14:paraId="50D06DCB" w14:textId="77777777" w:rsidR="005A169D" w:rsidRDefault="00000000">
      <w:pPr>
        <w:numPr>
          <w:ilvl w:val="0"/>
          <w:numId w:val="1"/>
        </w:numPr>
        <w:spacing w:after="80" w:line="300" w:lineRule="auto"/>
      </w:pPr>
      <w:r>
        <w:rPr>
          <w:rFonts w:eastAsia="Calibri"/>
          <w:color w:val="111111"/>
        </w:rPr>
        <w:t>Offre réellement interrompue : réaction généralement plus forte.</w:t>
      </w:r>
    </w:p>
    <w:p w14:paraId="6710DA63" w14:textId="77777777" w:rsidR="005A169D" w:rsidRDefault="00000000">
      <w:pPr>
        <w:numPr>
          <w:ilvl w:val="0"/>
          <w:numId w:val="1"/>
        </w:numPr>
        <w:spacing w:after="80" w:line="300" w:lineRule="auto"/>
      </w:pPr>
      <w:r>
        <w:rPr>
          <w:rFonts w:eastAsia="Calibri"/>
          <w:color w:val="111111"/>
        </w:rPr>
        <w:t>Menace sans interruption : prime de risque possible, souvent instable.</w:t>
      </w:r>
    </w:p>
    <w:p w14:paraId="0C96F969" w14:textId="77777777" w:rsidR="005A169D" w:rsidRDefault="00000000">
      <w:pPr>
        <w:numPr>
          <w:ilvl w:val="0"/>
          <w:numId w:val="1"/>
        </w:numPr>
        <w:spacing w:after="80" w:line="300" w:lineRule="auto"/>
      </w:pPr>
      <w:r>
        <w:rPr>
          <w:rFonts w:eastAsia="Calibri"/>
          <w:color w:val="111111"/>
        </w:rPr>
        <w:t>Stocks élevés et demande faible : le choc peut être absorbé.</w:t>
      </w:r>
    </w:p>
    <w:p w14:paraId="16EAE4C6" w14:textId="77777777" w:rsidR="005A169D" w:rsidRDefault="00000000">
      <w:pPr>
        <w:numPr>
          <w:ilvl w:val="0"/>
          <w:numId w:val="1"/>
        </w:numPr>
        <w:spacing w:after="80" w:line="300" w:lineRule="auto"/>
      </w:pPr>
      <w:r>
        <w:rPr>
          <w:rFonts w:eastAsia="Calibri"/>
          <w:color w:val="111111"/>
        </w:rPr>
        <w:t>Capacité de remplacement limitée : la durée devient décisive.</w:t>
      </w:r>
    </w:p>
    <w:p w14:paraId="4C57392D" w14:textId="77777777" w:rsidR="005A169D" w:rsidRDefault="00000000">
      <w:pPr>
        <w:pStyle w:val="Titre2"/>
      </w:pPr>
      <w:r>
        <w:t>4.2 Devises</w:t>
      </w:r>
    </w:p>
    <w:p w14:paraId="4939447F" w14:textId="77777777" w:rsidR="005A169D" w:rsidRDefault="00000000">
      <w:r>
        <w:rPr>
          <w:rFonts w:eastAsia="Calibri"/>
        </w:rPr>
        <w:t>Rappel de la Partie 2 : une devise est un prix relatif entre deux économies. Pour un choc géopolitique, compare leur exposition directe, la réponse probable de leurs banques centrales, les flux de capitaux et le coût des importations d'énergie.</w:t>
      </w:r>
    </w:p>
    <w:p w14:paraId="35058B1D"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LECTURE DU SYMBOLE  </w:t>
      </w:r>
      <w:r>
        <w:rPr>
          <w:rFonts w:eastAsia="Calibri"/>
          <w:sz w:val="21"/>
        </w:rPr>
        <w:t>GBP/USD en baisse signifie qu'une livre achète moins de dollars. USD/CNH en hausse signifie qu'un dollar achète davantage de yuans offshore : le yuan se déprécie face au dollar.</w:t>
      </w:r>
    </w:p>
    <w:p w14:paraId="30B69C3F" w14:textId="77777777" w:rsidR="005A169D" w:rsidRDefault="00000000">
      <w:pPr>
        <w:pStyle w:val="Titre2"/>
      </w:pPr>
      <w:r>
        <w:t>4.3 Actions et secteurs</w:t>
      </w:r>
    </w:p>
    <w:p w14:paraId="6894E604" w14:textId="77777777" w:rsidR="005A169D" w:rsidRDefault="00000000">
      <w:r>
        <w:rPr>
          <w:rFonts w:eastAsia="Calibri"/>
        </w:rPr>
        <w:t>Un indice agrège des entreprises très différentes. Le choc doit être traduit en chiffre d'affaires, coûts, marges, financement et valorisation. Les producteurs d'énergie peuvent bénéficier d'un pétrole plus cher tandis que les transporteurs paient davantage. Les entreprises de défense peuvent recevoir plus de commandes, mais une valorisation déjà extrême peut limiter le rendement futur.</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900"/>
        <w:gridCol w:w="3650"/>
        <w:gridCol w:w="3810"/>
      </w:tblGrid>
      <w:tr w:rsidR="005A169D" w14:paraId="4F5AF743" w14:textId="77777777">
        <w:trPr>
          <w:cantSplit/>
          <w:tblHeader/>
        </w:trPr>
        <w:tc>
          <w:tcPr>
            <w:tcW w:w="1900" w:type="dxa"/>
            <w:shd w:val="clear" w:color="auto" w:fill="F4F6F9"/>
            <w:tcMar>
              <w:top w:w="80" w:type="dxa"/>
              <w:left w:w="120" w:type="dxa"/>
              <w:bottom w:w="80" w:type="dxa"/>
              <w:right w:w="120" w:type="dxa"/>
            </w:tcMar>
            <w:vAlign w:val="center"/>
          </w:tcPr>
          <w:p w14:paraId="33490C15" w14:textId="77777777" w:rsidR="005A169D" w:rsidRDefault="00000000">
            <w:pPr>
              <w:keepNext/>
              <w:spacing w:after="0" w:line="283" w:lineRule="auto"/>
              <w:jc w:val="left"/>
            </w:pPr>
            <w:r>
              <w:rPr>
                <w:rFonts w:eastAsia="Calibri"/>
                <w:b/>
                <w:color w:val="0B2545"/>
                <w:sz w:val="19"/>
              </w:rPr>
              <w:t>Canal</w:t>
            </w:r>
          </w:p>
        </w:tc>
        <w:tc>
          <w:tcPr>
            <w:tcW w:w="3650" w:type="dxa"/>
            <w:shd w:val="clear" w:color="auto" w:fill="F4F6F9"/>
            <w:tcMar>
              <w:top w:w="80" w:type="dxa"/>
              <w:left w:w="120" w:type="dxa"/>
              <w:bottom w:w="80" w:type="dxa"/>
              <w:right w:w="120" w:type="dxa"/>
            </w:tcMar>
            <w:vAlign w:val="center"/>
          </w:tcPr>
          <w:p w14:paraId="1461594C" w14:textId="77777777" w:rsidR="005A169D" w:rsidRDefault="00000000">
            <w:pPr>
              <w:keepNext/>
              <w:spacing w:after="0" w:line="283" w:lineRule="auto"/>
              <w:jc w:val="left"/>
            </w:pPr>
            <w:r>
              <w:rPr>
                <w:rFonts w:eastAsia="Calibri"/>
                <w:b/>
                <w:color w:val="0B2545"/>
                <w:sz w:val="19"/>
              </w:rPr>
              <w:t>Bénéficiaires possibles</w:t>
            </w:r>
          </w:p>
        </w:tc>
        <w:tc>
          <w:tcPr>
            <w:tcW w:w="3810" w:type="dxa"/>
            <w:shd w:val="clear" w:color="auto" w:fill="F4F6F9"/>
            <w:tcMar>
              <w:top w:w="80" w:type="dxa"/>
              <w:left w:w="120" w:type="dxa"/>
              <w:bottom w:w="80" w:type="dxa"/>
              <w:right w:w="120" w:type="dxa"/>
            </w:tcMar>
            <w:vAlign w:val="center"/>
          </w:tcPr>
          <w:p w14:paraId="75AB8003" w14:textId="77777777" w:rsidR="005A169D" w:rsidRDefault="00000000">
            <w:pPr>
              <w:keepNext/>
              <w:spacing w:after="0" w:line="283" w:lineRule="auto"/>
              <w:jc w:val="left"/>
            </w:pPr>
            <w:r>
              <w:rPr>
                <w:rFonts w:eastAsia="Calibri"/>
                <w:b/>
                <w:color w:val="0B2545"/>
                <w:sz w:val="19"/>
              </w:rPr>
              <w:t>Entreprises sous pression possible</w:t>
            </w:r>
          </w:p>
        </w:tc>
      </w:tr>
      <w:tr w:rsidR="005A169D" w14:paraId="77AA7239" w14:textId="77777777">
        <w:trPr>
          <w:cantSplit/>
        </w:trPr>
        <w:tc>
          <w:tcPr>
            <w:tcW w:w="1900" w:type="dxa"/>
            <w:tcMar>
              <w:top w:w="80" w:type="dxa"/>
              <w:left w:w="120" w:type="dxa"/>
              <w:bottom w:w="80" w:type="dxa"/>
              <w:right w:w="120" w:type="dxa"/>
            </w:tcMar>
            <w:vAlign w:val="center"/>
          </w:tcPr>
          <w:p w14:paraId="6FCCAF10" w14:textId="77777777" w:rsidR="005A169D" w:rsidRDefault="00000000">
            <w:pPr>
              <w:keepNext/>
              <w:spacing w:after="0" w:line="283" w:lineRule="auto"/>
              <w:jc w:val="left"/>
            </w:pPr>
            <w:r>
              <w:rPr>
                <w:rFonts w:eastAsia="Calibri"/>
                <w:sz w:val="19"/>
              </w:rPr>
              <w:t>Énergie plus chère</w:t>
            </w:r>
          </w:p>
        </w:tc>
        <w:tc>
          <w:tcPr>
            <w:tcW w:w="3650" w:type="dxa"/>
            <w:tcMar>
              <w:top w:w="80" w:type="dxa"/>
              <w:left w:w="120" w:type="dxa"/>
              <w:bottom w:w="80" w:type="dxa"/>
              <w:right w:w="120" w:type="dxa"/>
            </w:tcMar>
            <w:vAlign w:val="center"/>
          </w:tcPr>
          <w:p w14:paraId="1A64DDF8" w14:textId="77777777" w:rsidR="005A169D" w:rsidRDefault="00000000">
            <w:pPr>
              <w:keepNext/>
              <w:spacing w:after="0" w:line="283" w:lineRule="auto"/>
              <w:jc w:val="left"/>
            </w:pPr>
            <w:r>
              <w:rPr>
                <w:rFonts w:eastAsia="Calibri"/>
                <w:sz w:val="19"/>
              </w:rPr>
              <w:t>Producteurs, services pétroliers.</w:t>
            </w:r>
          </w:p>
        </w:tc>
        <w:tc>
          <w:tcPr>
            <w:tcW w:w="3810" w:type="dxa"/>
            <w:tcMar>
              <w:top w:w="80" w:type="dxa"/>
              <w:left w:w="120" w:type="dxa"/>
              <w:bottom w:w="80" w:type="dxa"/>
              <w:right w:w="120" w:type="dxa"/>
            </w:tcMar>
            <w:vAlign w:val="center"/>
          </w:tcPr>
          <w:p w14:paraId="2AA42EF7" w14:textId="77777777" w:rsidR="005A169D" w:rsidRDefault="00000000">
            <w:pPr>
              <w:keepNext/>
              <w:spacing w:after="0" w:line="283" w:lineRule="auto"/>
              <w:jc w:val="left"/>
            </w:pPr>
            <w:r>
              <w:rPr>
                <w:rFonts w:eastAsia="Calibri"/>
                <w:sz w:val="19"/>
              </w:rPr>
              <w:t>Transport, chimie, industrie énergivore.</w:t>
            </w:r>
          </w:p>
        </w:tc>
      </w:tr>
      <w:tr w:rsidR="005A169D" w14:paraId="47E69195" w14:textId="77777777">
        <w:trPr>
          <w:cantSplit/>
        </w:trPr>
        <w:tc>
          <w:tcPr>
            <w:tcW w:w="1900" w:type="dxa"/>
            <w:shd w:val="clear" w:color="auto" w:fill="FAFBFC"/>
            <w:tcMar>
              <w:top w:w="80" w:type="dxa"/>
              <w:left w:w="120" w:type="dxa"/>
              <w:bottom w:w="80" w:type="dxa"/>
              <w:right w:w="120" w:type="dxa"/>
            </w:tcMar>
            <w:vAlign w:val="center"/>
          </w:tcPr>
          <w:p w14:paraId="60ECF342" w14:textId="77777777" w:rsidR="005A169D" w:rsidRDefault="00000000">
            <w:pPr>
              <w:keepNext/>
              <w:spacing w:after="0" w:line="283" w:lineRule="auto"/>
              <w:jc w:val="left"/>
            </w:pPr>
            <w:r>
              <w:rPr>
                <w:rFonts w:eastAsia="Calibri"/>
                <w:sz w:val="19"/>
              </w:rPr>
              <w:t>Réarmement</w:t>
            </w:r>
          </w:p>
        </w:tc>
        <w:tc>
          <w:tcPr>
            <w:tcW w:w="3650" w:type="dxa"/>
            <w:shd w:val="clear" w:color="auto" w:fill="FAFBFC"/>
            <w:tcMar>
              <w:top w:w="80" w:type="dxa"/>
              <w:left w:w="120" w:type="dxa"/>
              <w:bottom w:w="80" w:type="dxa"/>
              <w:right w:w="120" w:type="dxa"/>
            </w:tcMar>
            <w:vAlign w:val="center"/>
          </w:tcPr>
          <w:p w14:paraId="7D3D233C" w14:textId="77777777" w:rsidR="005A169D" w:rsidRDefault="00000000">
            <w:pPr>
              <w:keepNext/>
              <w:spacing w:after="0" w:line="283" w:lineRule="auto"/>
              <w:jc w:val="left"/>
            </w:pPr>
            <w:r>
              <w:rPr>
                <w:rFonts w:eastAsia="Calibri"/>
                <w:sz w:val="19"/>
              </w:rPr>
              <w:t>Défense, cybersécurité, certains équipementiers.</w:t>
            </w:r>
          </w:p>
        </w:tc>
        <w:tc>
          <w:tcPr>
            <w:tcW w:w="3810" w:type="dxa"/>
            <w:shd w:val="clear" w:color="auto" w:fill="FAFBFC"/>
            <w:tcMar>
              <w:top w:w="80" w:type="dxa"/>
              <w:left w:w="120" w:type="dxa"/>
              <w:bottom w:w="80" w:type="dxa"/>
              <w:right w:w="120" w:type="dxa"/>
            </w:tcMar>
            <w:vAlign w:val="center"/>
          </w:tcPr>
          <w:p w14:paraId="2D7DA318" w14:textId="77777777" w:rsidR="005A169D" w:rsidRDefault="00000000">
            <w:pPr>
              <w:keepNext/>
              <w:spacing w:after="0" w:line="283" w:lineRule="auto"/>
              <w:jc w:val="left"/>
            </w:pPr>
            <w:r>
              <w:rPr>
                <w:rFonts w:eastAsia="Calibri"/>
                <w:sz w:val="19"/>
              </w:rPr>
              <w:t>Budgets publics concurrents, secteurs civils évincés.</w:t>
            </w:r>
          </w:p>
        </w:tc>
      </w:tr>
      <w:tr w:rsidR="005A169D" w14:paraId="3A32EF3D" w14:textId="77777777">
        <w:trPr>
          <w:cantSplit/>
        </w:trPr>
        <w:tc>
          <w:tcPr>
            <w:tcW w:w="1900" w:type="dxa"/>
            <w:tcMar>
              <w:top w:w="80" w:type="dxa"/>
              <w:left w:w="120" w:type="dxa"/>
              <w:bottom w:w="80" w:type="dxa"/>
              <w:right w:w="120" w:type="dxa"/>
            </w:tcMar>
            <w:vAlign w:val="center"/>
          </w:tcPr>
          <w:p w14:paraId="736BCE01" w14:textId="77777777" w:rsidR="005A169D" w:rsidRDefault="00000000">
            <w:pPr>
              <w:keepNext/>
              <w:spacing w:after="0" w:line="283" w:lineRule="auto"/>
              <w:jc w:val="left"/>
            </w:pPr>
            <w:r>
              <w:rPr>
                <w:rFonts w:eastAsia="Calibri"/>
                <w:sz w:val="19"/>
              </w:rPr>
              <w:t>Tarifs</w:t>
            </w:r>
          </w:p>
        </w:tc>
        <w:tc>
          <w:tcPr>
            <w:tcW w:w="3650" w:type="dxa"/>
            <w:tcMar>
              <w:top w:w="80" w:type="dxa"/>
              <w:left w:w="120" w:type="dxa"/>
              <w:bottom w:w="80" w:type="dxa"/>
              <w:right w:w="120" w:type="dxa"/>
            </w:tcMar>
            <w:vAlign w:val="center"/>
          </w:tcPr>
          <w:p w14:paraId="09CAE425" w14:textId="77777777" w:rsidR="005A169D" w:rsidRDefault="00000000">
            <w:pPr>
              <w:keepNext/>
              <w:spacing w:after="0" w:line="283" w:lineRule="auto"/>
              <w:jc w:val="left"/>
            </w:pPr>
            <w:r>
              <w:rPr>
                <w:rFonts w:eastAsia="Calibri"/>
                <w:sz w:val="19"/>
              </w:rPr>
              <w:t>Producteurs locaux protégés.</w:t>
            </w:r>
          </w:p>
        </w:tc>
        <w:tc>
          <w:tcPr>
            <w:tcW w:w="3810" w:type="dxa"/>
            <w:tcMar>
              <w:top w:w="80" w:type="dxa"/>
              <w:left w:w="120" w:type="dxa"/>
              <w:bottom w:w="80" w:type="dxa"/>
              <w:right w:w="120" w:type="dxa"/>
            </w:tcMar>
            <w:vAlign w:val="center"/>
          </w:tcPr>
          <w:p w14:paraId="479F0295" w14:textId="77777777" w:rsidR="005A169D" w:rsidRDefault="00000000">
            <w:pPr>
              <w:keepNext/>
              <w:spacing w:after="0" w:line="283" w:lineRule="auto"/>
              <w:jc w:val="left"/>
            </w:pPr>
            <w:r>
              <w:rPr>
                <w:rFonts w:eastAsia="Calibri"/>
                <w:sz w:val="19"/>
              </w:rPr>
              <w:t>Importateurs, distributeurs et chaînes mondiales.</w:t>
            </w:r>
          </w:p>
        </w:tc>
      </w:tr>
      <w:tr w:rsidR="005A169D" w14:paraId="5D2A12F5" w14:textId="77777777">
        <w:trPr>
          <w:cantSplit/>
        </w:trPr>
        <w:tc>
          <w:tcPr>
            <w:tcW w:w="1900" w:type="dxa"/>
            <w:shd w:val="clear" w:color="auto" w:fill="FAFBFC"/>
            <w:tcMar>
              <w:top w:w="80" w:type="dxa"/>
              <w:left w:w="120" w:type="dxa"/>
              <w:bottom w:w="80" w:type="dxa"/>
              <w:right w:w="120" w:type="dxa"/>
            </w:tcMar>
            <w:vAlign w:val="center"/>
          </w:tcPr>
          <w:p w14:paraId="4F10BA38" w14:textId="77777777" w:rsidR="005A169D" w:rsidRDefault="00000000">
            <w:pPr>
              <w:spacing w:after="0" w:line="283" w:lineRule="auto"/>
              <w:jc w:val="left"/>
            </w:pPr>
            <w:r>
              <w:rPr>
                <w:rFonts w:eastAsia="Calibri"/>
                <w:sz w:val="19"/>
              </w:rPr>
              <w:t>Relocalisation</w:t>
            </w:r>
          </w:p>
        </w:tc>
        <w:tc>
          <w:tcPr>
            <w:tcW w:w="3650" w:type="dxa"/>
            <w:shd w:val="clear" w:color="auto" w:fill="FAFBFC"/>
            <w:tcMar>
              <w:top w:w="80" w:type="dxa"/>
              <w:left w:w="120" w:type="dxa"/>
              <w:bottom w:w="80" w:type="dxa"/>
              <w:right w:w="120" w:type="dxa"/>
            </w:tcMar>
            <w:vAlign w:val="center"/>
          </w:tcPr>
          <w:p w14:paraId="4FC4E5FC" w14:textId="77777777" w:rsidR="005A169D" w:rsidRDefault="00000000">
            <w:pPr>
              <w:spacing w:after="0" w:line="283" w:lineRule="auto"/>
              <w:jc w:val="left"/>
            </w:pPr>
            <w:r>
              <w:rPr>
                <w:rFonts w:eastAsia="Calibri"/>
                <w:sz w:val="19"/>
              </w:rPr>
              <w:t>Automatisation, infrastructures, équipements.</w:t>
            </w:r>
          </w:p>
        </w:tc>
        <w:tc>
          <w:tcPr>
            <w:tcW w:w="3810" w:type="dxa"/>
            <w:shd w:val="clear" w:color="auto" w:fill="FAFBFC"/>
            <w:tcMar>
              <w:top w:w="80" w:type="dxa"/>
              <w:left w:w="120" w:type="dxa"/>
              <w:bottom w:w="80" w:type="dxa"/>
              <w:right w:w="120" w:type="dxa"/>
            </w:tcMar>
            <w:vAlign w:val="center"/>
          </w:tcPr>
          <w:p w14:paraId="4FB7E71D" w14:textId="77777777" w:rsidR="005A169D" w:rsidRDefault="00000000">
            <w:pPr>
              <w:spacing w:after="0" w:line="283" w:lineRule="auto"/>
              <w:jc w:val="left"/>
            </w:pPr>
            <w:r>
              <w:rPr>
                <w:rFonts w:eastAsia="Calibri"/>
                <w:sz w:val="19"/>
              </w:rPr>
              <w:t>Acteurs dépendants d'un fournisseur unique.</w:t>
            </w:r>
          </w:p>
        </w:tc>
      </w:tr>
    </w:tbl>
    <w:p w14:paraId="32262F86" w14:textId="77777777" w:rsidR="005A169D" w:rsidRDefault="005A169D">
      <w:pPr>
        <w:spacing w:after="100"/>
      </w:pPr>
    </w:p>
    <w:p w14:paraId="7DF9FE71" w14:textId="77777777" w:rsidR="005A169D" w:rsidRDefault="00000000">
      <w:pPr>
        <w:pStyle w:val="Titre2"/>
      </w:pPr>
      <w:r>
        <w:t>4.4 Obligations et taux</w:t>
      </w:r>
    </w:p>
    <w:p w14:paraId="7AA3424A" w14:textId="77777777" w:rsidR="005A169D" w:rsidRDefault="00000000">
      <w:r>
        <w:rPr>
          <w:rFonts w:eastAsia="Calibri"/>
        </w:rPr>
        <w:t>Applique ici le cadre obligataire de la Partie 1 : une peur de récession peut faire baisser les rendements par recherche de sécurité, alors qu'un choc d'offre énergétique peut renforcer l'inflation et les faire monter. Identifie la force dominante : fuite vers la qualité, inflation ou risque souverain.</w:t>
      </w:r>
    </w:p>
    <w:p w14:paraId="6432F9DB" w14:textId="77777777" w:rsidR="005A169D" w:rsidRDefault="00000000">
      <w:pPr>
        <w:pStyle w:val="Titre2"/>
      </w:pPr>
      <w:r>
        <w:t>4.5 Or et actifs dits refuges</w:t>
      </w:r>
    </w:p>
    <w:p w14:paraId="12A832D5" w14:textId="77777777" w:rsidR="005A169D" w:rsidRDefault="00000000">
      <w:r>
        <w:rPr>
          <w:rFonts w:eastAsia="Calibri"/>
        </w:rPr>
        <w:t>L'or peut être recherché lorsque l'incertitude augmente, mais il réagit aussi au dollar, aux taux réels, à la liquidité et aux prises de bénéfices. Le dollar, le franc suisse, le yen et les obligations américaines sont parfois traités comme refuges, mais leur comportement dépend du lieu du choc et de la politique monétaire.</w:t>
      </w:r>
    </w:p>
    <w:p w14:paraId="59B2DAE9"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PRUDENCE  </w:t>
      </w:r>
      <w:r>
        <w:rPr>
          <w:rFonts w:eastAsia="Calibri"/>
          <w:sz w:val="21"/>
        </w:rPr>
        <w:t>Un refuge n'est pas un actif qui monte à chaque crise. C'est un actif susceptible de recevoir des flux dans certains régimes. Son prix peut baisser si les investisseurs doivent vendre ce qui est liquide pour obtenir du cash.</w:t>
      </w:r>
    </w:p>
    <w:p w14:paraId="3D850C10" w14:textId="77777777" w:rsidR="005A169D" w:rsidRDefault="00000000">
      <w:pPr>
        <w:pStyle w:val="Titre2"/>
      </w:pPr>
      <w:r>
        <w:t>4.6 Le VIX</w:t>
      </w:r>
    </w:p>
    <w:p w14:paraId="342C9F79" w14:textId="77777777" w:rsidR="005A169D" w:rsidRDefault="00000000">
      <w:r>
        <w:rPr>
          <w:rFonts w:eastAsia="Calibri"/>
        </w:rPr>
        <w:t>Le VIX mesure les anticipations de volatilité à court terme du S&amp;P 500 à partir des prix d'options. Il ne prédit pas la direction du marché et ne représente pas la peur de tous les actifs. Une hausse signifie surtout que les options intègrent une amplitude future plus importante.</w:t>
      </w:r>
    </w:p>
    <w:p w14:paraId="2EEEC0BF" w14:textId="77777777" w:rsidR="005A169D" w:rsidRDefault="00000000">
      <w:pPr>
        <w:spacing w:before="40" w:after="100"/>
        <w:jc w:val="center"/>
      </w:pPr>
      <w:r>
        <w:rPr>
          <w:rFonts w:eastAsia="Calibri"/>
          <w:i/>
          <w:color w:val="667085"/>
          <w:sz w:val="17"/>
        </w:rPr>
        <w:t xml:space="preserve">Sources : </w:t>
      </w:r>
      <w:hyperlink r:id="rId15">
        <w:r>
          <w:rPr>
            <w:color w:val="2E74B5"/>
            <w:u w:val="single"/>
          </w:rPr>
          <w:t>Cboe — Définition officielle du VIX</w:t>
        </w:r>
      </w:hyperlink>
      <w:r>
        <w:rPr>
          <w:rFonts w:eastAsia="Calibri"/>
          <w:color w:val="667085"/>
          <w:sz w:val="17"/>
        </w:rPr>
        <w:t xml:space="preserve"> · </w:t>
      </w:r>
      <w:hyperlink r:id="rId16">
        <w:r>
          <w:rPr>
            <w:color w:val="2E74B5"/>
            <w:u w:val="single"/>
          </w:rPr>
          <w:t>FMI — Geopolitical Risks: Implications for Asset Prices and Financial Stability, 2025</w:t>
        </w:r>
      </w:hyperlink>
    </w:p>
    <w:p w14:paraId="7B7FB833" w14:textId="77777777" w:rsidR="005A169D" w:rsidRDefault="00000000">
      <w:pPr>
        <w:pStyle w:val="Titre1"/>
        <w:keepNext/>
        <w:spacing w:after="140"/>
      </w:pPr>
      <w:r>
        <w:rPr>
          <w:rFonts w:eastAsia="Calibri"/>
          <w:b/>
          <w:color w:val="0B2545"/>
          <w:sz w:val="48"/>
        </w:rPr>
        <w:t>5. Dossier 1 — Brexit</w:t>
      </w:r>
    </w:p>
    <w:p w14:paraId="6DCA7ADB" w14:textId="77777777" w:rsidR="005A169D" w:rsidRDefault="00000000">
      <w:pPr>
        <w:keepNext/>
        <w:spacing w:after="320"/>
      </w:pPr>
      <w:r>
        <w:rPr>
          <w:rFonts w:eastAsia="Calibri"/>
          <w:i/>
          <w:color w:val="1F4D78"/>
          <w:sz w:val="26"/>
        </w:rPr>
        <w:t>Une décision politique produit un repricing immédiat de la devise, puis un long processus économique.</w:t>
      </w:r>
    </w:p>
    <w:p w14:paraId="0BD806FE" w14:textId="77777777" w:rsidR="005A169D" w:rsidRDefault="00000000">
      <w:pPr>
        <w:pStyle w:val="Titre2"/>
      </w:pPr>
      <w:r>
        <w:t>5.1 Le contexte</w:t>
      </w:r>
    </w:p>
    <w:p w14:paraId="7990F33F" w14:textId="77777777" w:rsidR="005A169D" w:rsidRDefault="00000000">
      <w:r>
        <w:rPr>
          <w:rFonts w:eastAsia="Calibri"/>
        </w:rPr>
        <w:t>Le 23 juin 2016, le Royaume-Uni vote sur son appartenance à l'Union européenne. Le résultat officiel donne 17 410 742 voix à Leave contre 16 141 241 à Remain, avec une participation de 72,2 %. Le résultat modifie brutalement les attentes sur le commerce, l'investissement, la croissance et la politique de la Bank of England.</w:t>
      </w:r>
    </w:p>
    <w:p w14:paraId="48D0A1D6" w14:textId="77777777" w:rsidR="005A169D" w:rsidRDefault="00000000">
      <w:pPr>
        <w:pStyle w:val="Titre2"/>
      </w:pPr>
      <w:r>
        <w:t>5.2 Le mécanisme de marché</w:t>
      </w:r>
    </w:p>
    <w:p w14:paraId="06DD6297" w14:textId="77777777" w:rsidR="005A169D" w:rsidRDefault="00000000">
      <w:pPr>
        <w:numPr>
          <w:ilvl w:val="0"/>
          <w:numId w:val="1"/>
        </w:numPr>
        <w:spacing w:after="80" w:line="300" w:lineRule="auto"/>
      </w:pPr>
      <w:r>
        <w:rPr>
          <w:rFonts w:eastAsia="Calibri"/>
          <w:color w:val="111111"/>
        </w:rPr>
        <w:t>Surprise politique : le résultat oblige à revoir rapidement les scénarios.</w:t>
      </w:r>
    </w:p>
    <w:p w14:paraId="761BF825" w14:textId="77777777" w:rsidR="005A169D" w:rsidRDefault="00000000">
      <w:pPr>
        <w:numPr>
          <w:ilvl w:val="0"/>
          <w:numId w:val="1"/>
        </w:numPr>
        <w:spacing w:after="80" w:line="300" w:lineRule="auto"/>
      </w:pPr>
      <w:r>
        <w:rPr>
          <w:rFonts w:eastAsia="Calibri"/>
          <w:color w:val="111111"/>
        </w:rPr>
        <w:t>Risque économique : l'accès futur au marché européen devient incertain.</w:t>
      </w:r>
    </w:p>
    <w:p w14:paraId="2A0B939C" w14:textId="77777777" w:rsidR="005A169D" w:rsidRDefault="00000000">
      <w:pPr>
        <w:numPr>
          <w:ilvl w:val="0"/>
          <w:numId w:val="1"/>
        </w:numPr>
        <w:spacing w:after="80" w:line="300" w:lineRule="auto"/>
      </w:pPr>
      <w:r>
        <w:rPr>
          <w:rFonts w:eastAsia="Calibri"/>
          <w:color w:val="111111"/>
        </w:rPr>
        <w:t>Risque monétaire : le marché anticipe une réponse plus accommodante de la Bank of England.</w:t>
      </w:r>
    </w:p>
    <w:p w14:paraId="192A9E5E" w14:textId="77777777" w:rsidR="005A169D" w:rsidRDefault="00000000">
      <w:pPr>
        <w:numPr>
          <w:ilvl w:val="0"/>
          <w:numId w:val="1"/>
        </w:numPr>
        <w:spacing w:after="80" w:line="300" w:lineRule="auto"/>
      </w:pPr>
      <w:r>
        <w:rPr>
          <w:rFonts w:eastAsia="Calibri"/>
          <w:color w:val="111111"/>
        </w:rPr>
        <w:t>Flux : certains investisseurs réduisent leur exposition aux actifs britanniques.</w:t>
      </w:r>
    </w:p>
    <w:p w14:paraId="130A35B2" w14:textId="77777777" w:rsidR="005A169D" w:rsidRDefault="00000000">
      <w:pPr>
        <w:numPr>
          <w:ilvl w:val="0"/>
          <w:numId w:val="1"/>
        </w:numPr>
        <w:spacing w:after="80" w:line="300" w:lineRule="auto"/>
      </w:pPr>
      <w:r>
        <w:rPr>
          <w:rFonts w:eastAsia="Calibri"/>
          <w:color w:val="111111"/>
        </w:rPr>
        <w:t>Prix : la livre baisse immédiatement face au dollar.</w:t>
      </w:r>
    </w:p>
    <w:p w14:paraId="09BAB453" w14:textId="77777777" w:rsidR="005A169D" w:rsidRDefault="00000000">
      <w:pPr>
        <w:keepNext/>
        <w:spacing w:before="120" w:after="80"/>
        <w:jc w:val="center"/>
      </w:pPr>
      <w:r>
        <w:rPr>
          <w:noProof/>
        </w:rPr>
        <w:drawing>
          <wp:inline distT="0" distB="0" distL="0" distR="0" wp14:anchorId="18F6F1DC" wp14:editId="54A94DE7">
            <wp:extent cx="5623560" cy="5008483"/>
            <wp:effectExtent l="0" t="0" r="0" b="0"/>
            <wp:docPr id="2" name="Picture 2" descr="Graphique TradingView GBPUSD en bougies journalières, annoté au vote Brexit des 23 et 24 juin 2016, avec forte baisse de la livre et volume accru." title="Figure 2 — GBP/USD en journalier, mai à août 2016. Le vote est suivi d'une bougie baissière excep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xit_gbpusd_annote.jpg"/>
                    <pic:cNvPicPr/>
                  </pic:nvPicPr>
                  <pic:blipFill>
                    <a:blip r:embed="rId17"/>
                    <a:stretch>
                      <a:fillRect/>
                    </a:stretch>
                  </pic:blipFill>
                  <pic:spPr>
                    <a:xfrm>
                      <a:off x="0" y="0"/>
                      <a:ext cx="5623560" cy="5008483"/>
                    </a:xfrm>
                    <a:prstGeom prst="rect">
                      <a:avLst/>
                    </a:prstGeom>
                  </pic:spPr>
                </pic:pic>
              </a:graphicData>
            </a:graphic>
          </wp:inline>
        </w:drawing>
      </w:r>
    </w:p>
    <w:p w14:paraId="5AA492A4" w14:textId="77777777" w:rsidR="005A169D" w:rsidRDefault="00000000">
      <w:pPr>
        <w:keepNext/>
        <w:spacing w:after="0"/>
        <w:jc w:val="center"/>
      </w:pPr>
      <w:r>
        <w:rPr>
          <w:rFonts w:eastAsia="Calibri"/>
          <w:b/>
          <w:sz w:val="19"/>
        </w:rPr>
        <w:t>Figure 2 — GBP/USD en journalier, mai à août 2016. Le vote est suivi d'une bougie baissière exceptionnelle.</w:t>
      </w:r>
    </w:p>
    <w:p w14:paraId="769A8A25" w14:textId="77777777" w:rsidR="005A169D" w:rsidRDefault="00000000">
      <w:pPr>
        <w:spacing w:before="40" w:after="100"/>
        <w:jc w:val="center"/>
      </w:pPr>
      <w:r>
        <w:rPr>
          <w:rFonts w:eastAsia="Calibri"/>
          <w:i/>
          <w:color w:val="667085"/>
          <w:sz w:val="17"/>
        </w:rPr>
        <w:t xml:space="preserve">Source : </w:t>
      </w:r>
      <w:hyperlink r:id="rId18">
        <w:r>
          <w:rPr>
            <w:color w:val="2E74B5"/>
            <w:u w:val="single"/>
          </w:rPr>
          <w:t>TradingView — GBP/USD (FX:GBPUSD)</w:t>
        </w:r>
      </w:hyperlink>
      <w:r>
        <w:rPr>
          <w:rFonts w:eastAsia="Calibri"/>
          <w:color w:val="667085"/>
          <w:sz w:val="17"/>
        </w:rPr>
        <w:t xml:space="preserve"> · </w:t>
      </w:r>
      <w:hyperlink r:id="rId19">
        <w:r>
          <w:rPr>
            <w:color w:val="2E74B5"/>
            <w:u w:val="single"/>
          </w:rPr>
          <w:t>Electoral Commission — Résultats officiels du référendum de 2016</w:t>
        </w:r>
      </w:hyperlink>
      <w:r>
        <w:rPr>
          <w:rFonts w:eastAsia="Calibri"/>
          <w:color w:val="667085"/>
          <w:sz w:val="17"/>
        </w:rPr>
        <w:t xml:space="preserve"> · </w:t>
      </w:r>
      <w:hyperlink r:id="rId20">
        <w:r>
          <w:rPr>
            <w:color w:val="2E74B5"/>
            <w:u w:val="single"/>
          </w:rPr>
          <w:t>Bank of England — EU withdrawal scenarios and monetary and financial stability</w:t>
        </w:r>
      </w:hyperlink>
    </w:p>
    <w:p w14:paraId="21B2B537" w14:textId="77777777" w:rsidR="005A169D" w:rsidRDefault="00000000">
      <w:pPr>
        <w:pStyle w:val="Titre3"/>
      </w:pPr>
      <w:r>
        <w:t>Lecture guidée</w:t>
      </w:r>
    </w:p>
    <w:p w14:paraId="5FDEB78D"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Le cours progressait juste avant le résultat, puis une très grande bougie rouge apparaît. La zone suivante reste nettement sous les prix antérieurs : il ne s'agit pas seulement d'une mèche intrajournalière.</w:t>
      </w:r>
    </w:p>
    <w:p w14:paraId="7E347B61"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CE QUE CELA SIGNIFIE Le marché a réévalué en quelques heures la valeur relative de la livre et le risque attaché au Royaume-Uni. L'ouverture, la clôture, la mèche et le volume relient ce dossier au Volume 3, consacré à la lecture technique du marché.</w:t>
      </w:r>
    </w:p>
    <w:p w14:paraId="3E6E2C4D"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Il ne démontre pas que chaque variation ultérieure de la livre vient du Brexit. Les taux, l'inflation, le dollar et les négociations ont ensuite repris leur rôle.</w:t>
      </w:r>
    </w:p>
    <w:p w14:paraId="23A66DC0"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Lorsqu'un événement binaire est connu à l'avance mais que son résultat reste incertain, le risque principal est le gap. Un stop peut être exécuté bien plus loin que prévu. La taille doit être réduite avant l'événement, pas après.</w:t>
      </w:r>
    </w:p>
    <w:p w14:paraId="538B46D9" w14:textId="77777777" w:rsidR="005A169D" w:rsidRDefault="00000000">
      <w:pPr>
        <w:pStyle w:val="Titre1"/>
        <w:keepNext/>
        <w:spacing w:after="140"/>
      </w:pPr>
      <w:r>
        <w:rPr>
          <w:rFonts w:eastAsia="Calibri"/>
          <w:b/>
          <w:color w:val="0B2545"/>
          <w:sz w:val="48"/>
        </w:rPr>
        <w:t>6. Dossier 2 — Abqaiq</w:t>
      </w:r>
    </w:p>
    <w:p w14:paraId="2129E061" w14:textId="77777777" w:rsidR="005A169D" w:rsidRDefault="00000000">
      <w:pPr>
        <w:keepNext/>
        <w:spacing w:after="320"/>
      </w:pPr>
      <w:r>
        <w:rPr>
          <w:rFonts w:eastAsia="Calibri"/>
          <w:i/>
          <w:color w:val="1F4D78"/>
          <w:sz w:val="26"/>
        </w:rPr>
        <w:t>Pourquoi une interruption gigantesque peut provoquer un pic bref plutôt qu'une tendance durable.</w:t>
      </w:r>
    </w:p>
    <w:p w14:paraId="5E91B224" w14:textId="77777777" w:rsidR="005A169D" w:rsidRDefault="00000000">
      <w:pPr>
        <w:pStyle w:val="Titre2"/>
      </w:pPr>
      <w:r>
        <w:t>6.1 Le fait</w:t>
      </w:r>
    </w:p>
    <w:p w14:paraId="166C052B" w14:textId="77777777" w:rsidR="005A169D" w:rsidRDefault="00000000">
      <w:r>
        <w:rPr>
          <w:rFonts w:eastAsia="Calibri"/>
        </w:rPr>
        <w:t>Le 14 septembre 2019, une attaque endommage l'installation de traitement d'Abqaiq et le champ de Khurais en Arabie saoudite. L'EIA estime l'interruption initiale à environ 5,7 millions de barils par jour, soit près de 6 % de l'offre mondiale de pétrole de l'époque. Abqaiq est une infrastructure centrale du système pétrolier saoudien.</w:t>
      </w:r>
    </w:p>
    <w:p w14:paraId="490F0049" w14:textId="77777777" w:rsidR="005A169D" w:rsidRDefault="00000000">
      <w:pPr>
        <w:pStyle w:val="Titre2"/>
      </w:pPr>
      <w:r>
        <w:t>6.2 Pourquoi le prix monte puis retombe</w:t>
      </w:r>
    </w:p>
    <w:p w14:paraId="5F8ADD2A" w14:textId="77777777" w:rsidR="005A169D" w:rsidRDefault="00000000">
      <w:r>
        <w:rPr>
          <w:rFonts w:eastAsia="Calibri"/>
        </w:rPr>
        <w:t>À la réouverture du marché, le Brent intègre une perte potentiellement massive. Mais le marché ne valorise pas seulement la taille initiale : il réévalue rapidement la durée. Les annonces sur le rétablissement de la production, l'utilisation des stocks et l'absence d'une escalade immédiate réduisent la prime de risque.</w:t>
      </w:r>
    </w:p>
    <w:p w14:paraId="6D537CA1" w14:textId="77777777" w:rsidR="005A169D" w:rsidRDefault="00000000">
      <w:pPr>
        <w:keepNext/>
        <w:spacing w:before="120" w:after="80"/>
        <w:jc w:val="center"/>
      </w:pPr>
      <w:r>
        <w:rPr>
          <w:noProof/>
        </w:rPr>
        <w:drawing>
          <wp:inline distT="0" distB="0" distL="0" distR="0" wp14:anchorId="7E1E6D9B" wp14:editId="705FD994">
            <wp:extent cx="5623560" cy="5008483"/>
            <wp:effectExtent l="0" t="0" r="0" b="0"/>
            <wp:docPr id="3" name="Picture 3" descr="Graphique TradingView du Brent en bougies journalières, avec un bond après l'attaque d'Abqaiq puis une décrue rapide." title="Figure 3 — Brent en journalier autour de l'attaque d'Abqaiq, août à octob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qaiq_brent_annote.jpg"/>
                    <pic:cNvPicPr/>
                  </pic:nvPicPr>
                  <pic:blipFill>
                    <a:blip r:embed="rId21"/>
                    <a:stretch>
                      <a:fillRect/>
                    </a:stretch>
                  </pic:blipFill>
                  <pic:spPr>
                    <a:xfrm>
                      <a:off x="0" y="0"/>
                      <a:ext cx="5623560" cy="5008483"/>
                    </a:xfrm>
                    <a:prstGeom prst="rect">
                      <a:avLst/>
                    </a:prstGeom>
                  </pic:spPr>
                </pic:pic>
              </a:graphicData>
            </a:graphic>
          </wp:inline>
        </w:drawing>
      </w:r>
    </w:p>
    <w:p w14:paraId="36E12DAA" w14:textId="77777777" w:rsidR="005A169D" w:rsidRDefault="00000000">
      <w:pPr>
        <w:keepNext/>
        <w:spacing w:after="0"/>
        <w:jc w:val="center"/>
      </w:pPr>
      <w:r>
        <w:rPr>
          <w:rFonts w:eastAsia="Calibri"/>
          <w:b/>
          <w:sz w:val="19"/>
        </w:rPr>
        <w:t>Figure 3 — Brent en journalier autour de l'attaque d'Abqaiq, août à octobre 2019.</w:t>
      </w:r>
    </w:p>
    <w:p w14:paraId="77A1B24A" w14:textId="77777777" w:rsidR="005A169D" w:rsidRDefault="00000000">
      <w:pPr>
        <w:spacing w:before="40" w:after="100"/>
        <w:jc w:val="center"/>
      </w:pPr>
      <w:r>
        <w:rPr>
          <w:rFonts w:eastAsia="Calibri"/>
          <w:i/>
          <w:color w:val="667085"/>
          <w:sz w:val="17"/>
        </w:rPr>
        <w:t xml:space="preserve">Source : </w:t>
      </w:r>
      <w:hyperlink r:id="rId22">
        <w:r>
          <w:rPr>
            <w:color w:val="2E74B5"/>
            <w:u w:val="single"/>
          </w:rPr>
          <w:t>TradingView — Brent (TVC:UKOIL)</w:t>
        </w:r>
      </w:hyperlink>
      <w:r>
        <w:rPr>
          <w:rFonts w:eastAsia="Calibri"/>
          <w:color w:val="667085"/>
          <w:sz w:val="17"/>
        </w:rPr>
        <w:t xml:space="preserve"> · </w:t>
      </w:r>
      <w:hyperlink r:id="rId23">
        <w:r>
          <w:rPr>
            <w:color w:val="2E74B5"/>
            <w:u w:val="single"/>
          </w:rPr>
          <w:t>U.S. EIA — Saudi Arabia crude oil production outage, 23 septembre 2019</w:t>
        </w:r>
      </w:hyperlink>
    </w:p>
    <w:p w14:paraId="1141B16E" w14:textId="77777777" w:rsidR="005A169D" w:rsidRDefault="00000000">
      <w:pPr>
        <w:pStyle w:val="Titre3"/>
      </w:pPr>
      <w:r>
        <w:t>Lecture guidée</w:t>
      </w:r>
    </w:p>
    <w:p w14:paraId="204075D8"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Une forte bougie haussière et une grande amplitude apparaissent à la séance suivant l'attaque. Les séances suivantes effacent progressivement l'essentiel du mouvement.</w:t>
      </w:r>
    </w:p>
    <w:p w14:paraId="63F5B1BD"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 marché a d'abord payé le pire scénario, puis a réduit la prime lorsque le risque d'une interruption longue a diminué. La durée attendue a dominé la taille initiale.</w:t>
      </w:r>
    </w:p>
    <w:p w14:paraId="63B08A6E"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Le graphique TradingView utilise ici un CFD sur le Brent ; le volume affiché n'est pas un volume centralisé du marché pétrolier. La lecture repose surtout sur le prix et l'amplitude.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500"/>
        <w:gridCol w:w="3430"/>
        <w:gridCol w:w="3430"/>
      </w:tblGrid>
      <w:tr w:rsidR="005A169D" w14:paraId="4E482197" w14:textId="77777777">
        <w:trPr>
          <w:cantSplit/>
          <w:tblHeader/>
        </w:trPr>
        <w:tc>
          <w:tcPr>
            <w:tcW w:w="2500" w:type="dxa"/>
            <w:shd w:val="clear" w:color="auto" w:fill="F4F6F9"/>
            <w:tcMar>
              <w:top w:w="80" w:type="dxa"/>
              <w:left w:w="120" w:type="dxa"/>
              <w:bottom w:w="80" w:type="dxa"/>
              <w:right w:w="120" w:type="dxa"/>
            </w:tcMar>
            <w:vAlign w:val="center"/>
          </w:tcPr>
          <w:p w14:paraId="06BB97F3" w14:textId="77777777" w:rsidR="005A169D" w:rsidRDefault="00000000">
            <w:pPr>
              <w:keepNext/>
              <w:spacing w:after="0" w:line="283" w:lineRule="auto"/>
              <w:jc w:val="left"/>
            </w:pPr>
            <w:r>
              <w:rPr>
                <w:rFonts w:eastAsia="Calibri"/>
                <w:b/>
                <w:color w:val="0B2545"/>
                <w:sz w:val="19"/>
              </w:rPr>
              <w:t>Question</w:t>
            </w:r>
          </w:p>
        </w:tc>
        <w:tc>
          <w:tcPr>
            <w:tcW w:w="3430" w:type="dxa"/>
            <w:shd w:val="clear" w:color="auto" w:fill="F4F6F9"/>
            <w:tcMar>
              <w:top w:w="80" w:type="dxa"/>
              <w:left w:w="120" w:type="dxa"/>
              <w:bottom w:w="80" w:type="dxa"/>
              <w:right w:w="120" w:type="dxa"/>
            </w:tcMar>
            <w:vAlign w:val="center"/>
          </w:tcPr>
          <w:p w14:paraId="65C0EDA9" w14:textId="77777777" w:rsidR="005A169D" w:rsidRDefault="00000000">
            <w:pPr>
              <w:keepNext/>
              <w:spacing w:after="0" w:line="283" w:lineRule="auto"/>
              <w:jc w:val="left"/>
            </w:pPr>
            <w:r>
              <w:rPr>
                <w:rFonts w:eastAsia="Calibri"/>
                <w:b/>
                <w:color w:val="0B2545"/>
                <w:sz w:val="19"/>
              </w:rPr>
              <w:t>Réponse au départ</w:t>
            </w:r>
          </w:p>
        </w:tc>
        <w:tc>
          <w:tcPr>
            <w:tcW w:w="3430" w:type="dxa"/>
            <w:shd w:val="clear" w:color="auto" w:fill="F4F6F9"/>
            <w:tcMar>
              <w:top w:w="80" w:type="dxa"/>
              <w:left w:w="120" w:type="dxa"/>
              <w:bottom w:w="80" w:type="dxa"/>
              <w:right w:w="120" w:type="dxa"/>
            </w:tcMar>
            <w:vAlign w:val="center"/>
          </w:tcPr>
          <w:p w14:paraId="356A68ED" w14:textId="77777777" w:rsidR="005A169D" w:rsidRDefault="00000000">
            <w:pPr>
              <w:keepNext/>
              <w:spacing w:after="0" w:line="283" w:lineRule="auto"/>
              <w:jc w:val="left"/>
            </w:pPr>
            <w:r>
              <w:rPr>
                <w:rFonts w:eastAsia="Calibri"/>
                <w:b/>
                <w:color w:val="0B2545"/>
                <w:sz w:val="19"/>
              </w:rPr>
              <w:t>Réponse après les annonces</w:t>
            </w:r>
          </w:p>
        </w:tc>
      </w:tr>
      <w:tr w:rsidR="005A169D" w14:paraId="460E0C3C" w14:textId="77777777">
        <w:trPr>
          <w:cantSplit/>
        </w:trPr>
        <w:tc>
          <w:tcPr>
            <w:tcW w:w="2500" w:type="dxa"/>
            <w:tcMar>
              <w:top w:w="80" w:type="dxa"/>
              <w:left w:w="120" w:type="dxa"/>
              <w:bottom w:w="80" w:type="dxa"/>
              <w:right w:w="120" w:type="dxa"/>
            </w:tcMar>
            <w:vAlign w:val="center"/>
          </w:tcPr>
          <w:p w14:paraId="403D815C" w14:textId="77777777" w:rsidR="005A169D" w:rsidRDefault="00000000">
            <w:pPr>
              <w:keepNext/>
              <w:spacing w:after="0" w:line="283" w:lineRule="auto"/>
              <w:jc w:val="left"/>
            </w:pPr>
            <w:r>
              <w:rPr>
                <w:rFonts w:eastAsia="Calibri"/>
                <w:sz w:val="19"/>
              </w:rPr>
              <w:t>Taille du choc</w:t>
            </w:r>
          </w:p>
        </w:tc>
        <w:tc>
          <w:tcPr>
            <w:tcW w:w="3430" w:type="dxa"/>
            <w:tcMar>
              <w:top w:w="80" w:type="dxa"/>
              <w:left w:w="120" w:type="dxa"/>
              <w:bottom w:w="80" w:type="dxa"/>
              <w:right w:w="120" w:type="dxa"/>
            </w:tcMar>
            <w:vAlign w:val="center"/>
          </w:tcPr>
          <w:p w14:paraId="129888A8" w14:textId="77777777" w:rsidR="005A169D" w:rsidRDefault="00000000">
            <w:pPr>
              <w:keepNext/>
              <w:spacing w:after="0" w:line="283" w:lineRule="auto"/>
              <w:jc w:val="left"/>
            </w:pPr>
            <w:r>
              <w:rPr>
                <w:rFonts w:eastAsia="Calibri"/>
                <w:sz w:val="19"/>
              </w:rPr>
              <w:t>Très grande.</w:t>
            </w:r>
          </w:p>
        </w:tc>
        <w:tc>
          <w:tcPr>
            <w:tcW w:w="3430" w:type="dxa"/>
            <w:tcMar>
              <w:top w:w="80" w:type="dxa"/>
              <w:left w:w="120" w:type="dxa"/>
              <w:bottom w:w="80" w:type="dxa"/>
              <w:right w:w="120" w:type="dxa"/>
            </w:tcMar>
            <w:vAlign w:val="center"/>
          </w:tcPr>
          <w:p w14:paraId="00BF4D88" w14:textId="77777777" w:rsidR="005A169D" w:rsidRDefault="00000000">
            <w:pPr>
              <w:keepNext/>
              <w:spacing w:after="0" w:line="283" w:lineRule="auto"/>
              <w:jc w:val="left"/>
            </w:pPr>
            <w:r>
              <w:rPr>
                <w:rFonts w:eastAsia="Calibri"/>
                <w:sz w:val="19"/>
              </w:rPr>
              <w:t>Toujours connue.</w:t>
            </w:r>
          </w:p>
        </w:tc>
      </w:tr>
      <w:tr w:rsidR="005A169D" w14:paraId="2CE6595D" w14:textId="77777777">
        <w:trPr>
          <w:cantSplit/>
        </w:trPr>
        <w:tc>
          <w:tcPr>
            <w:tcW w:w="2500" w:type="dxa"/>
            <w:shd w:val="clear" w:color="auto" w:fill="FAFBFC"/>
            <w:tcMar>
              <w:top w:w="80" w:type="dxa"/>
              <w:left w:w="120" w:type="dxa"/>
              <w:bottom w:w="80" w:type="dxa"/>
              <w:right w:w="120" w:type="dxa"/>
            </w:tcMar>
            <w:vAlign w:val="center"/>
          </w:tcPr>
          <w:p w14:paraId="23F82B9F" w14:textId="77777777" w:rsidR="005A169D" w:rsidRDefault="00000000">
            <w:pPr>
              <w:keepNext/>
              <w:spacing w:after="0" w:line="283" w:lineRule="auto"/>
              <w:jc w:val="left"/>
            </w:pPr>
            <w:r>
              <w:rPr>
                <w:rFonts w:eastAsia="Calibri"/>
                <w:sz w:val="19"/>
              </w:rPr>
              <w:t>Durée attendue</w:t>
            </w:r>
          </w:p>
        </w:tc>
        <w:tc>
          <w:tcPr>
            <w:tcW w:w="3430" w:type="dxa"/>
            <w:shd w:val="clear" w:color="auto" w:fill="FAFBFC"/>
            <w:tcMar>
              <w:top w:w="80" w:type="dxa"/>
              <w:left w:w="120" w:type="dxa"/>
              <w:bottom w:w="80" w:type="dxa"/>
              <w:right w:w="120" w:type="dxa"/>
            </w:tcMar>
            <w:vAlign w:val="center"/>
          </w:tcPr>
          <w:p w14:paraId="02AE3F31" w14:textId="77777777" w:rsidR="005A169D" w:rsidRDefault="00000000">
            <w:pPr>
              <w:keepNext/>
              <w:spacing w:after="0" w:line="283" w:lineRule="auto"/>
              <w:jc w:val="left"/>
            </w:pPr>
            <w:r>
              <w:rPr>
                <w:rFonts w:eastAsia="Calibri"/>
                <w:sz w:val="19"/>
              </w:rPr>
              <w:t>Potentiellement longue.</w:t>
            </w:r>
          </w:p>
        </w:tc>
        <w:tc>
          <w:tcPr>
            <w:tcW w:w="3430" w:type="dxa"/>
            <w:shd w:val="clear" w:color="auto" w:fill="FAFBFC"/>
            <w:tcMar>
              <w:top w:w="80" w:type="dxa"/>
              <w:left w:w="120" w:type="dxa"/>
              <w:bottom w:w="80" w:type="dxa"/>
              <w:right w:w="120" w:type="dxa"/>
            </w:tcMar>
            <w:vAlign w:val="center"/>
          </w:tcPr>
          <w:p w14:paraId="71BAF8C4" w14:textId="77777777" w:rsidR="005A169D" w:rsidRDefault="00000000">
            <w:pPr>
              <w:keepNext/>
              <w:spacing w:after="0" w:line="283" w:lineRule="auto"/>
              <w:jc w:val="left"/>
            </w:pPr>
            <w:r>
              <w:rPr>
                <w:rFonts w:eastAsia="Calibri"/>
                <w:sz w:val="19"/>
              </w:rPr>
              <w:t>Révisée à la baisse.</w:t>
            </w:r>
          </w:p>
        </w:tc>
      </w:tr>
      <w:tr w:rsidR="005A169D" w14:paraId="7965C616" w14:textId="77777777">
        <w:trPr>
          <w:cantSplit/>
        </w:trPr>
        <w:tc>
          <w:tcPr>
            <w:tcW w:w="2500" w:type="dxa"/>
            <w:tcMar>
              <w:top w:w="80" w:type="dxa"/>
              <w:left w:w="120" w:type="dxa"/>
              <w:bottom w:w="80" w:type="dxa"/>
              <w:right w:w="120" w:type="dxa"/>
            </w:tcMar>
            <w:vAlign w:val="center"/>
          </w:tcPr>
          <w:p w14:paraId="1BFF0D65" w14:textId="77777777" w:rsidR="005A169D" w:rsidRDefault="00000000">
            <w:pPr>
              <w:keepNext/>
              <w:spacing w:after="0" w:line="283" w:lineRule="auto"/>
              <w:jc w:val="left"/>
            </w:pPr>
            <w:r>
              <w:rPr>
                <w:rFonts w:eastAsia="Calibri"/>
                <w:sz w:val="19"/>
              </w:rPr>
              <w:t>Substitution</w:t>
            </w:r>
          </w:p>
        </w:tc>
        <w:tc>
          <w:tcPr>
            <w:tcW w:w="3430" w:type="dxa"/>
            <w:tcMar>
              <w:top w:w="80" w:type="dxa"/>
              <w:left w:w="120" w:type="dxa"/>
              <w:bottom w:w="80" w:type="dxa"/>
              <w:right w:w="120" w:type="dxa"/>
            </w:tcMar>
            <w:vAlign w:val="center"/>
          </w:tcPr>
          <w:p w14:paraId="22B18F8B" w14:textId="77777777" w:rsidR="005A169D" w:rsidRDefault="00000000">
            <w:pPr>
              <w:keepNext/>
              <w:spacing w:after="0" w:line="283" w:lineRule="auto"/>
              <w:jc w:val="left"/>
            </w:pPr>
            <w:r>
              <w:rPr>
                <w:rFonts w:eastAsia="Calibri"/>
                <w:sz w:val="19"/>
              </w:rPr>
              <w:t>Incertaine.</w:t>
            </w:r>
          </w:p>
        </w:tc>
        <w:tc>
          <w:tcPr>
            <w:tcW w:w="3430" w:type="dxa"/>
            <w:tcMar>
              <w:top w:w="80" w:type="dxa"/>
              <w:left w:w="120" w:type="dxa"/>
              <w:bottom w:w="80" w:type="dxa"/>
              <w:right w:w="120" w:type="dxa"/>
            </w:tcMar>
            <w:vAlign w:val="center"/>
          </w:tcPr>
          <w:p w14:paraId="10DC95A6" w14:textId="77777777" w:rsidR="005A169D" w:rsidRDefault="00000000">
            <w:pPr>
              <w:keepNext/>
              <w:spacing w:after="0" w:line="283" w:lineRule="auto"/>
              <w:jc w:val="left"/>
            </w:pPr>
            <w:r>
              <w:rPr>
                <w:rFonts w:eastAsia="Calibri"/>
                <w:sz w:val="19"/>
              </w:rPr>
              <w:t>Stocks et restauration rassurent.</w:t>
            </w:r>
          </w:p>
        </w:tc>
      </w:tr>
      <w:tr w:rsidR="005A169D" w14:paraId="4E821E1B" w14:textId="77777777">
        <w:trPr>
          <w:cantSplit/>
        </w:trPr>
        <w:tc>
          <w:tcPr>
            <w:tcW w:w="2500" w:type="dxa"/>
            <w:shd w:val="clear" w:color="auto" w:fill="FAFBFC"/>
            <w:tcMar>
              <w:top w:w="80" w:type="dxa"/>
              <w:left w:w="120" w:type="dxa"/>
              <w:bottom w:w="80" w:type="dxa"/>
              <w:right w:w="120" w:type="dxa"/>
            </w:tcMar>
            <w:vAlign w:val="center"/>
          </w:tcPr>
          <w:p w14:paraId="506D3074" w14:textId="77777777" w:rsidR="005A169D" w:rsidRDefault="00000000">
            <w:pPr>
              <w:spacing w:after="0" w:line="283" w:lineRule="auto"/>
              <w:jc w:val="left"/>
            </w:pPr>
            <w:r>
              <w:rPr>
                <w:rFonts w:eastAsia="Calibri"/>
                <w:sz w:val="19"/>
              </w:rPr>
              <w:t>Prime de risque</w:t>
            </w:r>
          </w:p>
        </w:tc>
        <w:tc>
          <w:tcPr>
            <w:tcW w:w="3430" w:type="dxa"/>
            <w:shd w:val="clear" w:color="auto" w:fill="FAFBFC"/>
            <w:tcMar>
              <w:top w:w="80" w:type="dxa"/>
              <w:left w:w="120" w:type="dxa"/>
              <w:bottom w:w="80" w:type="dxa"/>
              <w:right w:w="120" w:type="dxa"/>
            </w:tcMar>
            <w:vAlign w:val="center"/>
          </w:tcPr>
          <w:p w14:paraId="07E8B2BA" w14:textId="77777777" w:rsidR="005A169D" w:rsidRDefault="00000000">
            <w:pPr>
              <w:spacing w:after="0" w:line="283" w:lineRule="auto"/>
              <w:jc w:val="left"/>
            </w:pPr>
            <w:r>
              <w:rPr>
                <w:rFonts w:eastAsia="Calibri"/>
                <w:sz w:val="19"/>
              </w:rPr>
              <w:t>Hausse immédiate.</w:t>
            </w:r>
          </w:p>
        </w:tc>
        <w:tc>
          <w:tcPr>
            <w:tcW w:w="3430" w:type="dxa"/>
            <w:shd w:val="clear" w:color="auto" w:fill="FAFBFC"/>
            <w:tcMar>
              <w:top w:w="80" w:type="dxa"/>
              <w:left w:w="120" w:type="dxa"/>
              <w:bottom w:w="80" w:type="dxa"/>
              <w:right w:w="120" w:type="dxa"/>
            </w:tcMar>
            <w:vAlign w:val="center"/>
          </w:tcPr>
          <w:p w14:paraId="051D4238" w14:textId="77777777" w:rsidR="005A169D" w:rsidRDefault="00000000">
            <w:pPr>
              <w:spacing w:after="0" w:line="283" w:lineRule="auto"/>
              <w:jc w:val="left"/>
            </w:pPr>
            <w:r>
              <w:rPr>
                <w:rFonts w:eastAsia="Calibri"/>
                <w:sz w:val="19"/>
              </w:rPr>
              <w:t>Retrait partiel.</w:t>
            </w:r>
          </w:p>
        </w:tc>
      </w:tr>
    </w:tbl>
    <w:p w14:paraId="70C9E1C0" w14:textId="77777777" w:rsidR="005A169D" w:rsidRDefault="005A169D">
      <w:pPr>
        <w:spacing w:after="100"/>
      </w:pPr>
    </w:p>
    <w:p w14:paraId="0BE66AD4"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Le prix d'une matière première dépend de la quantité indisponible multipliée par le temps pendant lequel elle manque. Un choc gigantesque mais très bref peut être moins haussier qu'un petit déficit persistant.</w:t>
      </w:r>
    </w:p>
    <w:p w14:paraId="1FFD3188" w14:textId="77777777" w:rsidR="005A169D" w:rsidRDefault="00000000">
      <w:pPr>
        <w:pStyle w:val="Titre1"/>
        <w:keepNext/>
        <w:spacing w:after="140"/>
      </w:pPr>
      <w:r>
        <w:rPr>
          <w:rFonts w:eastAsia="Calibri"/>
          <w:b/>
          <w:color w:val="0B2545"/>
          <w:sz w:val="48"/>
        </w:rPr>
        <w:t>7. Dossier 3 — Guerre commerciale États-Unis–Chine</w:t>
      </w:r>
    </w:p>
    <w:p w14:paraId="4F61F2F7" w14:textId="77777777" w:rsidR="005A169D" w:rsidRDefault="00000000">
      <w:pPr>
        <w:keepNext/>
        <w:spacing w:after="320"/>
      </w:pPr>
      <w:r>
        <w:rPr>
          <w:rFonts w:eastAsia="Calibri"/>
          <w:i/>
          <w:color w:val="1F4D78"/>
          <w:sz w:val="26"/>
        </w:rPr>
        <w:t>Une succession de décisions transforme une tension politique en tendance macrofinancière.</w:t>
      </w:r>
    </w:p>
    <w:p w14:paraId="7BB2CF49" w14:textId="77777777" w:rsidR="005A169D" w:rsidRDefault="00000000">
      <w:pPr>
        <w:pStyle w:val="Titre2"/>
      </w:pPr>
      <w:r>
        <w:t>7.1 La chronologie utile</w:t>
      </w:r>
    </w:p>
    <w:p w14:paraId="15C71065" w14:textId="77777777" w:rsidR="005A169D" w:rsidRDefault="00000000">
      <w:r>
        <w:rPr>
          <w:rFonts w:eastAsia="Calibri"/>
        </w:rPr>
        <w:t>En 2018, les États-Unis utilisent la section 301 pour imposer des droits supplémentaires sur des importations chinoises. Une première tranche de 25 % sur environ 34 milliards de dollars entre en vigueur le 6 juillet. D'autres listes suivent, dont une portant sur 200 milliards de dollars d'importations annoncée en septembre. Le marché doit alors réévaluer plusieurs fois la croissance, les chaînes d'approvisionnement et la politique de change.</w:t>
      </w:r>
    </w:p>
    <w:p w14:paraId="10CCA353" w14:textId="77777777" w:rsidR="005A169D" w:rsidRDefault="00000000">
      <w:pPr>
        <w:pStyle w:val="Titre2"/>
      </w:pPr>
      <w:r>
        <w:t>7.2 Pourquoi observer USD/CNH</w:t>
      </w:r>
    </w:p>
    <w:p w14:paraId="15A25636" w14:textId="77777777" w:rsidR="005A169D" w:rsidRDefault="00000000">
      <w:r>
        <w:rPr>
          <w:rFonts w:eastAsia="Calibri"/>
        </w:rPr>
        <w:t>Le CNH est le yuan négocié offshore. Quand USD/CNH monte, il faut davantage de yuans pour acheter un dollar : le yuan se déprécie. Une monnaie plus faible peut amortir une partie du choc tarifaire pour les exportateurs chinois, mais elle augmente aussi le coût des importations et peut signaler une recherche de sécurité en dollar.</w:t>
      </w:r>
    </w:p>
    <w:p w14:paraId="0FD20BCB" w14:textId="77777777" w:rsidR="005A169D" w:rsidRDefault="00000000">
      <w:pPr>
        <w:keepNext/>
        <w:spacing w:before="120" w:after="80"/>
        <w:jc w:val="center"/>
      </w:pPr>
      <w:r>
        <w:rPr>
          <w:noProof/>
        </w:rPr>
        <w:drawing>
          <wp:inline distT="0" distB="0" distL="0" distR="0" wp14:anchorId="282AEFCA" wp14:editId="123DD6F3">
            <wp:extent cx="5623560" cy="5008483"/>
            <wp:effectExtent l="0" t="0" r="0" b="0"/>
            <wp:docPr id="4" name="Picture 4" descr="Graphique TradingView hebdomadaire USD contre yuan offshore, avec phases de hausse lors des escalades tarifaires de 2018 et 2019." title="Figure 4 — USD/CNH en hebdomadaire pendant les escalades tarifaires de 2018–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_war_usdcnh_annote.jpg"/>
                    <pic:cNvPicPr/>
                  </pic:nvPicPr>
                  <pic:blipFill>
                    <a:blip r:embed="rId24"/>
                    <a:stretch>
                      <a:fillRect/>
                    </a:stretch>
                  </pic:blipFill>
                  <pic:spPr>
                    <a:xfrm>
                      <a:off x="0" y="0"/>
                      <a:ext cx="5623560" cy="5008483"/>
                    </a:xfrm>
                    <a:prstGeom prst="rect">
                      <a:avLst/>
                    </a:prstGeom>
                  </pic:spPr>
                </pic:pic>
              </a:graphicData>
            </a:graphic>
          </wp:inline>
        </w:drawing>
      </w:r>
    </w:p>
    <w:p w14:paraId="081B2ABD" w14:textId="77777777" w:rsidR="005A169D" w:rsidRDefault="00000000">
      <w:pPr>
        <w:keepNext/>
        <w:spacing w:after="0"/>
        <w:jc w:val="center"/>
      </w:pPr>
      <w:r>
        <w:rPr>
          <w:rFonts w:eastAsia="Calibri"/>
          <w:b/>
          <w:sz w:val="19"/>
        </w:rPr>
        <w:t>Figure 4 — USD/CNH en hebdomadaire pendant les escalades tarifaires de 2018–2019.</w:t>
      </w:r>
    </w:p>
    <w:p w14:paraId="15434CC9" w14:textId="77777777" w:rsidR="005A169D" w:rsidRDefault="00000000">
      <w:pPr>
        <w:spacing w:before="40" w:after="100"/>
        <w:jc w:val="center"/>
      </w:pPr>
      <w:r>
        <w:rPr>
          <w:rFonts w:eastAsia="Calibri"/>
          <w:i/>
          <w:color w:val="667085"/>
          <w:sz w:val="17"/>
        </w:rPr>
        <w:t xml:space="preserve">Source : </w:t>
      </w:r>
      <w:hyperlink r:id="rId25">
        <w:r>
          <w:rPr>
            <w:color w:val="2E74B5"/>
            <w:u w:val="single"/>
          </w:rPr>
          <w:t>TradingView — USD/CNH (FX_IDC:USDCNH)</w:t>
        </w:r>
      </w:hyperlink>
      <w:r>
        <w:rPr>
          <w:rFonts w:eastAsia="Calibri"/>
          <w:color w:val="667085"/>
          <w:sz w:val="17"/>
        </w:rPr>
        <w:t xml:space="preserve"> · </w:t>
      </w:r>
      <w:hyperlink r:id="rId26">
        <w:r>
          <w:rPr>
            <w:color w:val="2E74B5"/>
            <w:u w:val="single"/>
          </w:rPr>
          <w:t>USTR — Tarifs sur les produits chinois, 15 juin 2018</w:t>
        </w:r>
      </w:hyperlink>
      <w:r>
        <w:rPr>
          <w:rFonts w:eastAsia="Calibri"/>
          <w:color w:val="667085"/>
          <w:sz w:val="17"/>
        </w:rPr>
        <w:t xml:space="preserve"> · </w:t>
      </w:r>
      <w:hyperlink r:id="rId27">
        <w:r>
          <w:rPr>
            <w:color w:val="2E74B5"/>
            <w:u w:val="single"/>
          </w:rPr>
          <w:t>USTR — Début des tarifs de 25 % sur 34 milliards de dollars d'importations, 10 juillet 2018</w:t>
        </w:r>
      </w:hyperlink>
      <w:r>
        <w:rPr>
          <w:rFonts w:eastAsia="Calibri"/>
          <w:color w:val="667085"/>
          <w:sz w:val="17"/>
        </w:rPr>
        <w:t xml:space="preserve"> · </w:t>
      </w:r>
      <w:hyperlink r:id="rId28">
        <w:r>
          <w:rPr>
            <w:color w:val="2E74B5"/>
            <w:u w:val="single"/>
          </w:rPr>
          <w:t>USTR — Tarifs sur 200 milliards de dollars d'importations, 18 septembre 2018</w:t>
        </w:r>
      </w:hyperlink>
    </w:p>
    <w:p w14:paraId="51E5705E" w14:textId="77777777" w:rsidR="005A169D" w:rsidRDefault="00000000">
      <w:pPr>
        <w:pStyle w:val="Titre3"/>
      </w:pPr>
      <w:r>
        <w:t>Lecture guidée</w:t>
      </w:r>
    </w:p>
    <w:p w14:paraId="6A14AC93"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La paire monte fortement durant l'été 2018, se détend au début de 2019, puis repart lors d'une nouvelle escalade. La réaction se construit par vagues plutôt que par une seule bougie.</w:t>
      </w:r>
    </w:p>
    <w:p w14:paraId="362D68DB"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 marché réévalue à chaque étape le différentiel de croissance, le risque commercial et la réponse des autorités. La géopolitique devient ici un processus cumulatif.</w:t>
      </w:r>
    </w:p>
    <w:p w14:paraId="071C7127"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La Banque populaire de Chine influence le taux de change et d'autres facteurs macroéconomiques agissent simultanément. Il serait faux d'attribuer chaque bougie aux tarifs.</w:t>
      </w:r>
    </w:p>
    <w:p w14:paraId="692DA59B"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Pour un conflit commercial, construis une chronologie : annonce, entrée en vigueur, réponse adverse, négociation et report éventuel. La date juridique compte parfois davantage que la conférence de presse.</w:t>
      </w:r>
    </w:p>
    <w:p w14:paraId="3603C683" w14:textId="77777777" w:rsidR="005A169D" w:rsidRDefault="00000000">
      <w:pPr>
        <w:pStyle w:val="Titre1"/>
        <w:keepNext/>
        <w:spacing w:after="140"/>
      </w:pPr>
      <w:r>
        <w:rPr>
          <w:rFonts w:eastAsia="Calibri"/>
          <w:b/>
          <w:color w:val="0B2545"/>
          <w:sz w:val="48"/>
        </w:rPr>
        <w:t>8. Dossier 4 — Invasion de l'Ukraine</w:t>
      </w:r>
    </w:p>
    <w:p w14:paraId="49E351E7" w14:textId="77777777" w:rsidR="005A169D" w:rsidRDefault="00000000">
      <w:pPr>
        <w:keepNext/>
        <w:spacing w:after="320"/>
      </w:pPr>
      <w:r>
        <w:rPr>
          <w:rFonts w:eastAsia="Calibri"/>
          <w:i/>
          <w:color w:val="1F4D78"/>
          <w:sz w:val="26"/>
        </w:rPr>
        <w:t>Un même choc se transmet à l'énergie, à l'alimentation, à la volatilité, à l'or et aux devises.</w:t>
      </w:r>
    </w:p>
    <w:p w14:paraId="30C9DB3E" w14:textId="77777777" w:rsidR="005A169D" w:rsidRDefault="00000000">
      <w:pPr>
        <w:pStyle w:val="Titre2"/>
      </w:pPr>
      <w:r>
        <w:t>8.1 Le contexte et les canaux</w:t>
      </w:r>
    </w:p>
    <w:p w14:paraId="4AECA893" w14:textId="77777777" w:rsidR="005A169D" w:rsidRDefault="00000000">
      <w:r>
        <w:rPr>
          <w:rFonts w:eastAsia="Calibri"/>
        </w:rPr>
        <w:t>L'invasion à grande échelle commence le 24 février 2022. Les conséquences de marché ne viennent pas d'un seul mécanisme : risque sur les exportations d'énergie et de céréales, sanctions financières, perturbation des transports, recherche de liquidité et nouvelle pression sur une inflation déjà élevée.</w:t>
      </w:r>
    </w:p>
    <w:p w14:paraId="740BDB14"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POINT ESSENTIEL  </w:t>
      </w:r>
      <w:r>
        <w:rPr>
          <w:rFonts w:eastAsia="Calibri"/>
          <w:sz w:val="21"/>
        </w:rPr>
        <w:t>Le pétrole et plusieurs matières premières montaient déjà avant l'invasion. Le graphique doit donc séparer la tendance précédente du choc nouveau. Une date d'événement ne transforme pas tout le mouvement antérieur en conséquence de cet événement.</w:t>
      </w:r>
    </w:p>
    <w:p w14:paraId="05E079A4" w14:textId="77777777" w:rsidR="005A169D" w:rsidRDefault="00000000">
      <w:pPr>
        <w:pStyle w:val="Titre2"/>
      </w:pPr>
      <w:r>
        <w:t>8.2 Pétrole : le risque d'offre</w:t>
      </w:r>
    </w:p>
    <w:p w14:paraId="0FA7474C" w14:textId="77777777" w:rsidR="005A169D" w:rsidRDefault="00000000">
      <w:pPr>
        <w:keepNext/>
        <w:spacing w:before="120" w:after="80"/>
        <w:jc w:val="center"/>
      </w:pPr>
      <w:r>
        <w:rPr>
          <w:noProof/>
        </w:rPr>
        <w:drawing>
          <wp:inline distT="0" distB="0" distL="0" distR="0" wp14:anchorId="696BF574" wp14:editId="6DB4406D">
            <wp:extent cx="5623560" cy="5008483"/>
            <wp:effectExtent l="0" t="0" r="0" b="0"/>
            <wp:docPr id="5" name="Picture 5" descr="Graphique TradingView du Brent en 2022, montrant une hausse avant l'invasion puis une accélération et une forte volatilité en mars." title="Figure 5 — Brent en journalier, janvier à ju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aine_brent_annote.jpg"/>
                    <pic:cNvPicPr/>
                  </pic:nvPicPr>
                  <pic:blipFill>
                    <a:blip r:embed="rId29"/>
                    <a:stretch>
                      <a:fillRect/>
                    </a:stretch>
                  </pic:blipFill>
                  <pic:spPr>
                    <a:xfrm>
                      <a:off x="0" y="0"/>
                      <a:ext cx="5623560" cy="5008483"/>
                    </a:xfrm>
                    <a:prstGeom prst="rect">
                      <a:avLst/>
                    </a:prstGeom>
                  </pic:spPr>
                </pic:pic>
              </a:graphicData>
            </a:graphic>
          </wp:inline>
        </w:drawing>
      </w:r>
    </w:p>
    <w:p w14:paraId="1F66E35C" w14:textId="77777777" w:rsidR="005A169D" w:rsidRDefault="00000000">
      <w:pPr>
        <w:keepNext/>
        <w:spacing w:after="0"/>
        <w:jc w:val="center"/>
      </w:pPr>
      <w:r>
        <w:rPr>
          <w:rFonts w:eastAsia="Calibri"/>
          <w:b/>
          <w:sz w:val="19"/>
        </w:rPr>
        <w:t>Figure 5 — Brent en journalier, janvier à juin 2022.</w:t>
      </w:r>
    </w:p>
    <w:p w14:paraId="492D1577" w14:textId="77777777" w:rsidR="005A169D" w:rsidRDefault="00000000">
      <w:pPr>
        <w:spacing w:before="40" w:after="100"/>
        <w:jc w:val="center"/>
      </w:pPr>
      <w:r>
        <w:rPr>
          <w:rFonts w:eastAsia="Calibri"/>
          <w:i/>
          <w:color w:val="667085"/>
          <w:sz w:val="17"/>
        </w:rPr>
        <w:t xml:space="preserve">Source : </w:t>
      </w:r>
      <w:hyperlink r:id="rId30">
        <w:r>
          <w:rPr>
            <w:color w:val="2E74B5"/>
            <w:u w:val="single"/>
          </w:rPr>
          <w:t>TradingView — Brent (TVC:UKOIL)</w:t>
        </w:r>
      </w:hyperlink>
      <w:r>
        <w:rPr>
          <w:rFonts w:eastAsia="Calibri"/>
          <w:color w:val="667085"/>
          <w:sz w:val="17"/>
        </w:rPr>
        <w:t xml:space="preserve"> · </w:t>
      </w:r>
      <w:hyperlink r:id="rId31">
        <w:r>
          <w:rPr>
            <w:color w:val="2E74B5"/>
            <w:u w:val="single"/>
          </w:rPr>
          <w:t>Nations unies — Résolution de l'Assemblée générale sur l'invasion de l'Ukraine, 2 mars 2022</w:t>
        </w:r>
      </w:hyperlink>
      <w:r>
        <w:rPr>
          <w:rFonts w:eastAsia="Calibri"/>
          <w:color w:val="667085"/>
          <w:sz w:val="17"/>
        </w:rPr>
        <w:t xml:space="preserve"> · </w:t>
      </w:r>
      <w:hyperlink r:id="rId32">
        <w:r>
          <w:rPr>
            <w:color w:val="2E74B5"/>
            <w:u w:val="single"/>
          </w:rPr>
          <w:t>Banque mondiale — Food and Energy Price Shocks from Ukraine War, 26 avril 2022</w:t>
        </w:r>
      </w:hyperlink>
    </w:p>
    <w:p w14:paraId="619D5649" w14:textId="77777777" w:rsidR="005A169D" w:rsidRDefault="00000000">
      <w:pPr>
        <w:pStyle w:val="Titre3"/>
      </w:pPr>
      <w:r>
        <w:t>Lecture guidée</w:t>
      </w:r>
    </w:p>
    <w:p w14:paraId="6C042979"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La tendance est déjà haussière en janvier et février. Après le 24 février, l'amplitude s'élargit et le prix accélère fortement avant de devenir très volatil.</w:t>
      </w:r>
    </w:p>
    <w:p w14:paraId="76B809EE"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 marché ajoute une prime liée aux sanctions, aux exportations russes et au risque de pénurie. Il réévalue ensuite la demande, les flux détournés et la réponse des autres producteurs.</w:t>
      </w:r>
    </w:p>
    <w:p w14:paraId="0D61DCC9"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La hausse entière de 2022 ne vient pas de l'invasion : reprise post-pandémie, stocks, OPEP+ et inflation étaient déjà présents.</w:t>
      </w:r>
    </w:p>
    <w:p w14:paraId="7E5FBF17" w14:textId="77777777" w:rsidR="005A169D" w:rsidRDefault="00000000">
      <w:pPr>
        <w:pStyle w:val="Titre2"/>
      </w:pPr>
      <w:r>
        <w:t>8.3 Blé : la sécurité alimentaire</w:t>
      </w:r>
    </w:p>
    <w:p w14:paraId="3A32DEC6" w14:textId="77777777" w:rsidR="005A169D" w:rsidRDefault="00000000">
      <w:pPr>
        <w:keepNext/>
        <w:spacing w:before="120" w:after="80"/>
        <w:jc w:val="center"/>
      </w:pPr>
      <w:r>
        <w:rPr>
          <w:noProof/>
        </w:rPr>
        <w:drawing>
          <wp:inline distT="0" distB="0" distL="0" distR="0" wp14:anchorId="371874E8" wp14:editId="4049C3EB">
            <wp:extent cx="5623560" cy="5008483"/>
            <wp:effectExtent l="0" t="0" r="0" b="0"/>
            <wp:docPr id="6" name="Picture 6" descr="Graphique TradingView des futures sur blé, avec forte accélération et volumes élevés après l'invasion de l'Ukraine." title="Figure 6 — Contrat à terme sur le blé en journalier, janvier à ju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aine_wheat_annote.jpg"/>
                    <pic:cNvPicPr/>
                  </pic:nvPicPr>
                  <pic:blipFill>
                    <a:blip r:embed="rId33"/>
                    <a:stretch>
                      <a:fillRect/>
                    </a:stretch>
                  </pic:blipFill>
                  <pic:spPr>
                    <a:xfrm>
                      <a:off x="0" y="0"/>
                      <a:ext cx="5623560" cy="5008483"/>
                    </a:xfrm>
                    <a:prstGeom prst="rect">
                      <a:avLst/>
                    </a:prstGeom>
                  </pic:spPr>
                </pic:pic>
              </a:graphicData>
            </a:graphic>
          </wp:inline>
        </w:drawing>
      </w:r>
    </w:p>
    <w:p w14:paraId="4C9930DD" w14:textId="77777777" w:rsidR="005A169D" w:rsidRDefault="00000000">
      <w:pPr>
        <w:keepNext/>
        <w:spacing w:after="0"/>
        <w:jc w:val="center"/>
      </w:pPr>
      <w:r>
        <w:rPr>
          <w:rFonts w:eastAsia="Calibri"/>
          <w:b/>
          <w:sz w:val="19"/>
        </w:rPr>
        <w:t>Figure 6 — Contrat à terme sur le blé en journalier, janvier à juin 2022.</w:t>
      </w:r>
    </w:p>
    <w:p w14:paraId="2BF46D72" w14:textId="77777777" w:rsidR="005A169D" w:rsidRDefault="00000000">
      <w:pPr>
        <w:spacing w:before="40" w:after="100"/>
        <w:jc w:val="center"/>
      </w:pPr>
      <w:r>
        <w:rPr>
          <w:rFonts w:eastAsia="Calibri"/>
          <w:i/>
          <w:color w:val="667085"/>
          <w:sz w:val="17"/>
        </w:rPr>
        <w:t xml:space="preserve">Source : </w:t>
      </w:r>
      <w:hyperlink r:id="rId34">
        <w:r>
          <w:rPr>
            <w:color w:val="2E74B5"/>
            <w:u w:val="single"/>
          </w:rPr>
          <w:t>TradingView — Wheat Futures (CBOT:ZW1!)</w:t>
        </w:r>
      </w:hyperlink>
      <w:r>
        <w:rPr>
          <w:rFonts w:eastAsia="Calibri"/>
          <w:color w:val="667085"/>
          <w:sz w:val="17"/>
        </w:rPr>
        <w:t xml:space="preserve"> · </w:t>
      </w:r>
      <w:hyperlink r:id="rId35">
        <w:r>
          <w:rPr>
            <w:color w:val="2E74B5"/>
            <w:u w:val="single"/>
          </w:rPr>
          <w:t>Banque mondiale — Food and Energy Price Shocks from Ukraine War, 26 avril 2022</w:t>
        </w:r>
      </w:hyperlink>
    </w:p>
    <w:p w14:paraId="5B177C1D" w14:textId="77777777" w:rsidR="005A169D" w:rsidRDefault="00000000">
      <w:pPr>
        <w:pStyle w:val="Titre3"/>
      </w:pPr>
      <w:r>
        <w:t>Lecture guidée</w:t>
      </w:r>
    </w:p>
    <w:p w14:paraId="2F014C3D"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Le prix et le volume augmentent brutalement autour du début de mars. Les grandes bougies et les gaps montrent un marché qui peine à trouver un nouvel équilibre.</w:t>
      </w:r>
    </w:p>
    <w:p w14:paraId="5FD6829F"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 risque concerne les exportations, les ports, les récoltes, l'énergie et les engrais. Le choc alimentaire touche ensuite l'inflation et le pouvoir d'achat, surtout dans les pays importateurs.</w:t>
      </w:r>
    </w:p>
    <w:p w14:paraId="435DEC06"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Un contrat à terme inclut aussi l'échéance, la liquidité et des règles de marché. Le graphique ne mesure pas directement le prix payé par tous les consommateurs.</w:t>
      </w:r>
    </w:p>
    <w:p w14:paraId="053468FE" w14:textId="77777777" w:rsidR="005A169D" w:rsidRDefault="00000000">
      <w:pPr>
        <w:pStyle w:val="Titre2"/>
      </w:pPr>
      <w:r>
        <w:t>8.4 Or et VIX : deux outils différents</w:t>
      </w:r>
    </w:p>
    <w:p w14:paraId="46AC7E56" w14:textId="77777777" w:rsidR="005A169D" w:rsidRDefault="00000000">
      <w:r>
        <w:rPr>
          <w:rFonts w:eastAsia="Calibri"/>
        </w:rPr>
        <w:t>L'or représente un actif mondial sans risque de crédit direct, mais son prix dépend aussi du dollar et des taux réels. Le VIX, lui, mesure la volatilité anticipée du S&amp;P 500 par les options. Ils ne racontent donc pas la même chose.</w:t>
      </w:r>
    </w:p>
    <w:p w14:paraId="62778D92" w14:textId="77777777" w:rsidR="005A169D" w:rsidRDefault="00000000">
      <w:pPr>
        <w:keepNext/>
        <w:spacing w:before="120" w:after="80"/>
        <w:jc w:val="center"/>
      </w:pPr>
      <w:r>
        <w:rPr>
          <w:noProof/>
        </w:rPr>
        <w:drawing>
          <wp:inline distT="0" distB="0" distL="0" distR="0" wp14:anchorId="68EDEDD4" wp14:editId="0AC9C798">
            <wp:extent cx="4892040" cy="4356973"/>
            <wp:effectExtent l="0" t="0" r="0" b="0"/>
            <wp:docPr id="7" name="Picture 7" descr="Graphique TradingView de l'or, avec hausse avant et après l'invasion puis repli depuis le pic de mars." title="Figure 7 — Or contre dollar en journalier, décembre 2021 à avril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aine_gold_annote.jpg"/>
                    <pic:cNvPicPr/>
                  </pic:nvPicPr>
                  <pic:blipFill>
                    <a:blip r:embed="rId36"/>
                    <a:stretch>
                      <a:fillRect/>
                    </a:stretch>
                  </pic:blipFill>
                  <pic:spPr>
                    <a:xfrm>
                      <a:off x="0" y="0"/>
                      <a:ext cx="4892040" cy="4356973"/>
                    </a:xfrm>
                    <a:prstGeom prst="rect">
                      <a:avLst/>
                    </a:prstGeom>
                  </pic:spPr>
                </pic:pic>
              </a:graphicData>
            </a:graphic>
          </wp:inline>
        </w:drawing>
      </w:r>
    </w:p>
    <w:p w14:paraId="1F7EFC33" w14:textId="77777777" w:rsidR="005A169D" w:rsidRDefault="00000000">
      <w:pPr>
        <w:keepNext/>
        <w:spacing w:after="0"/>
        <w:jc w:val="center"/>
      </w:pPr>
      <w:r>
        <w:rPr>
          <w:rFonts w:eastAsia="Calibri"/>
          <w:b/>
          <w:sz w:val="19"/>
        </w:rPr>
        <w:t>Figure 7 — Or contre dollar en journalier, décembre 2021 à avril 2022.</w:t>
      </w:r>
    </w:p>
    <w:p w14:paraId="659DE20E" w14:textId="77777777" w:rsidR="005A169D" w:rsidRDefault="00000000">
      <w:pPr>
        <w:spacing w:before="40" w:after="100"/>
        <w:jc w:val="center"/>
      </w:pPr>
      <w:r>
        <w:rPr>
          <w:rFonts w:eastAsia="Calibri"/>
          <w:i/>
          <w:color w:val="667085"/>
          <w:sz w:val="17"/>
        </w:rPr>
        <w:t xml:space="preserve">Source : </w:t>
      </w:r>
      <w:hyperlink r:id="rId37">
        <w:r>
          <w:rPr>
            <w:color w:val="2E74B5"/>
            <w:u w:val="single"/>
          </w:rPr>
          <w:t>TradingView — Gold Spot / U.S. Dollar (OANDA:XAUUSD)</w:t>
        </w:r>
      </w:hyperlink>
      <w:r>
        <w:rPr>
          <w:rFonts w:eastAsia="Calibri"/>
          <w:color w:val="667085"/>
          <w:sz w:val="17"/>
        </w:rPr>
        <w:t xml:space="preserve"> · </w:t>
      </w:r>
      <w:hyperlink r:id="rId38">
        <w:r>
          <w:rPr>
            <w:color w:val="2E74B5"/>
            <w:u w:val="single"/>
          </w:rPr>
          <w:t>FMI — Geopolitical Risks: Implications for Asset Prices and Financial Stability, 2025</w:t>
        </w:r>
      </w:hyperlink>
    </w:p>
    <w:p w14:paraId="74F60F65" w14:textId="77777777" w:rsidR="005A169D" w:rsidRDefault="00000000">
      <w:pPr>
        <w:pStyle w:val="Titre3"/>
      </w:pPr>
      <w:r>
        <w:t>Lecture guidée</w:t>
      </w:r>
    </w:p>
    <w:p w14:paraId="1EB98D81"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L'or monte avant l'invasion, accélère jusqu'au début de mars, puis rend une partie de sa hausse.</w:t>
      </w:r>
    </w:p>
    <w:p w14:paraId="4F76526C"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La recherche de protection soutient le prix, mais les anticipations de taux, le dollar et les prises de bénéfices limitent ensuite le mouvement.</w:t>
      </w:r>
    </w:p>
    <w:p w14:paraId="0944DACB"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Le graphique ne permet pas d'affirmer que l'or protège toujours un portefeuille ni qu'il monte à chaque conflit.</w:t>
      </w:r>
    </w:p>
    <w:p w14:paraId="318A6441" w14:textId="77777777" w:rsidR="005A169D" w:rsidRDefault="00000000">
      <w:pPr>
        <w:keepNext/>
        <w:spacing w:before="120" w:after="80"/>
        <w:jc w:val="center"/>
      </w:pPr>
      <w:r>
        <w:rPr>
          <w:noProof/>
        </w:rPr>
        <w:drawing>
          <wp:inline distT="0" distB="0" distL="0" distR="0" wp14:anchorId="79FAC312" wp14:editId="241A73DD">
            <wp:extent cx="5623560" cy="5008483"/>
            <wp:effectExtent l="0" t="0" r="0" b="0"/>
            <wp:docPr id="8" name="Picture 8" descr="Graphique TradingView du VIX, élevé avant et après l'invasion, puis en baisse au cours de mars." title="Figure 8 — VIX en journalier, décembre 2021 à avril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aine_vix_annote.jpg"/>
                    <pic:cNvPicPr/>
                  </pic:nvPicPr>
                  <pic:blipFill>
                    <a:blip r:embed="rId39"/>
                    <a:stretch>
                      <a:fillRect/>
                    </a:stretch>
                  </pic:blipFill>
                  <pic:spPr>
                    <a:xfrm>
                      <a:off x="0" y="0"/>
                      <a:ext cx="5623560" cy="5008483"/>
                    </a:xfrm>
                    <a:prstGeom prst="rect">
                      <a:avLst/>
                    </a:prstGeom>
                  </pic:spPr>
                </pic:pic>
              </a:graphicData>
            </a:graphic>
          </wp:inline>
        </w:drawing>
      </w:r>
    </w:p>
    <w:p w14:paraId="2534E888" w14:textId="77777777" w:rsidR="005A169D" w:rsidRDefault="00000000">
      <w:pPr>
        <w:keepNext/>
        <w:spacing w:after="0"/>
        <w:jc w:val="center"/>
      </w:pPr>
      <w:r>
        <w:rPr>
          <w:rFonts w:eastAsia="Calibri"/>
          <w:b/>
          <w:sz w:val="19"/>
        </w:rPr>
        <w:t>Figure 8 — VIX en journalier, décembre 2021 à avril 2022.</w:t>
      </w:r>
    </w:p>
    <w:p w14:paraId="79C977DA" w14:textId="77777777" w:rsidR="005A169D" w:rsidRDefault="00000000">
      <w:pPr>
        <w:spacing w:before="40" w:after="100"/>
        <w:jc w:val="center"/>
      </w:pPr>
      <w:r>
        <w:rPr>
          <w:rFonts w:eastAsia="Calibri"/>
          <w:i/>
          <w:color w:val="667085"/>
          <w:sz w:val="17"/>
        </w:rPr>
        <w:t xml:space="preserve">Source : </w:t>
      </w:r>
      <w:hyperlink r:id="rId40">
        <w:r>
          <w:rPr>
            <w:color w:val="2E74B5"/>
            <w:u w:val="single"/>
          </w:rPr>
          <w:t>TradingView — Cboe Volatility Index (CBOE:VIX)</w:t>
        </w:r>
      </w:hyperlink>
      <w:r>
        <w:rPr>
          <w:rFonts w:eastAsia="Calibri"/>
          <w:color w:val="667085"/>
          <w:sz w:val="17"/>
        </w:rPr>
        <w:t xml:space="preserve"> · </w:t>
      </w:r>
      <w:hyperlink r:id="rId41">
        <w:r>
          <w:rPr>
            <w:color w:val="2E74B5"/>
            <w:u w:val="single"/>
          </w:rPr>
          <w:t>Cboe — Définition officielle du VIX</w:t>
        </w:r>
      </w:hyperlink>
      <w:r>
        <w:rPr>
          <w:rFonts w:eastAsia="Calibri"/>
          <w:color w:val="667085"/>
          <w:sz w:val="17"/>
        </w:rPr>
        <w:t xml:space="preserve"> · </w:t>
      </w:r>
      <w:hyperlink r:id="rId42">
        <w:r>
          <w:rPr>
            <w:color w:val="2E74B5"/>
            <w:u w:val="single"/>
          </w:rPr>
          <w:t>FMI — Geopolitical Risks: Implications for Asset Prices and Financial Stability, 2025</w:t>
        </w:r>
      </w:hyperlink>
    </w:p>
    <w:p w14:paraId="4107ED37" w14:textId="77777777" w:rsidR="005A169D" w:rsidRDefault="00000000">
      <w:pPr>
        <w:pStyle w:val="Titre3"/>
      </w:pPr>
      <w:r>
        <w:t>Lecture guidée</w:t>
      </w:r>
    </w:p>
    <w:p w14:paraId="68243D1B"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Le VIX est déjà instable avant le 24 février et atteint plusieurs pics. Il recule ensuite alors que la guerre continue.</w:t>
      </w:r>
    </w:p>
    <w:p w14:paraId="514924C0"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La volatilité dépend de la surprise et de l'incertitude marginale, pas seulement de la gravité humaine de l'événement. Quand le scénario devient plus connu, la volatilité peut baisser.</w:t>
      </w:r>
    </w:p>
    <w:p w14:paraId="7E13C1D2"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Le VIX ne dit pas si le S&amp;P 500 va monter ou baisser. Il ne mesure pas non plus la volatilité du pétrole, de l'or ou des devises.</w:t>
      </w:r>
    </w:p>
    <w:p w14:paraId="56FFA0F4" w14:textId="77777777" w:rsidR="005A169D" w:rsidRDefault="00000000">
      <w:pPr>
        <w:pStyle w:val="Titre2"/>
      </w:pPr>
      <w:r>
        <w:t>8.5 Sanctions et rouble : un prix sous contraintes</w:t>
      </w:r>
    </w:p>
    <w:p w14:paraId="27CEA0A9" w14:textId="77777777" w:rsidR="005A169D" w:rsidRDefault="00000000">
      <w:r>
        <w:rPr>
          <w:rFonts w:eastAsia="Calibri"/>
        </w:rPr>
        <w:t>Les sanctions financières limitent l'accès de certaines banques au système international et visent aussi la capacité de la Banque centrale de Russie à mobiliser une partie de ses réserves. En parallèle, les autorités russes relèvent les taux, imposent des contrôles de capitaux et exigent des conversions de recettes d'exportation.</w:t>
      </w:r>
    </w:p>
    <w:p w14:paraId="3CF63C13" w14:textId="77777777" w:rsidR="005A169D" w:rsidRDefault="00000000">
      <w:pPr>
        <w:keepNext/>
        <w:spacing w:before="120" w:after="80"/>
        <w:jc w:val="center"/>
      </w:pPr>
      <w:r>
        <w:rPr>
          <w:noProof/>
        </w:rPr>
        <w:drawing>
          <wp:inline distT="0" distB="0" distL="0" distR="0" wp14:anchorId="25DBB589" wp14:editId="78D010D9">
            <wp:extent cx="4297680" cy="3827621"/>
            <wp:effectExtent l="0" t="0" r="0" b="0"/>
            <wp:docPr id="9" name="Picture 9" descr="Graphique TradingView dollar contre rouble, montrant un pic du dollar après l'invasion puis une forte baisse sous l'effet de mesures et de contraintes de marché." title="Figure 9 — USD/RUB en journalier, janvier à ju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ctions_ruble_annote.jpg"/>
                    <pic:cNvPicPr/>
                  </pic:nvPicPr>
                  <pic:blipFill>
                    <a:blip r:embed="rId43"/>
                    <a:stretch>
                      <a:fillRect/>
                    </a:stretch>
                  </pic:blipFill>
                  <pic:spPr>
                    <a:xfrm>
                      <a:off x="0" y="0"/>
                      <a:ext cx="4297680" cy="3827621"/>
                    </a:xfrm>
                    <a:prstGeom prst="rect">
                      <a:avLst/>
                    </a:prstGeom>
                  </pic:spPr>
                </pic:pic>
              </a:graphicData>
            </a:graphic>
          </wp:inline>
        </w:drawing>
      </w:r>
    </w:p>
    <w:p w14:paraId="4D6B8615" w14:textId="77777777" w:rsidR="005A169D" w:rsidRDefault="00000000">
      <w:pPr>
        <w:keepNext/>
        <w:spacing w:after="0"/>
        <w:jc w:val="center"/>
      </w:pPr>
      <w:r>
        <w:rPr>
          <w:rFonts w:eastAsia="Calibri"/>
          <w:b/>
          <w:sz w:val="19"/>
        </w:rPr>
        <w:t>Figure 9 — USD/RUB en journalier, janvier à juin 2022.</w:t>
      </w:r>
    </w:p>
    <w:p w14:paraId="3103C406" w14:textId="77777777" w:rsidR="005A169D" w:rsidRDefault="00000000">
      <w:pPr>
        <w:spacing w:before="40" w:after="100"/>
        <w:jc w:val="center"/>
      </w:pPr>
      <w:r>
        <w:rPr>
          <w:rFonts w:eastAsia="Calibri"/>
          <w:i/>
          <w:color w:val="667085"/>
          <w:sz w:val="17"/>
        </w:rPr>
        <w:t xml:space="preserve">Source : </w:t>
      </w:r>
      <w:hyperlink r:id="rId44">
        <w:r>
          <w:rPr>
            <w:color w:val="2E74B5"/>
            <w:u w:val="single"/>
          </w:rPr>
          <w:t>TradingView — USD/RUB (FX_IDC:USDRUB)</w:t>
        </w:r>
      </w:hyperlink>
      <w:r>
        <w:rPr>
          <w:rFonts w:eastAsia="Calibri"/>
          <w:color w:val="667085"/>
          <w:sz w:val="17"/>
        </w:rPr>
        <w:t xml:space="preserve"> · </w:t>
      </w:r>
      <w:hyperlink r:id="rId45">
        <w:r>
          <w:rPr>
            <w:color w:val="2E74B5"/>
            <w:u w:val="single"/>
          </w:rPr>
          <w:t>U.S. Treasury — Sanctions contre la Russie, 24 février 2022</w:t>
        </w:r>
      </w:hyperlink>
      <w:r>
        <w:rPr>
          <w:rFonts w:eastAsia="Calibri"/>
          <w:color w:val="667085"/>
          <w:sz w:val="17"/>
        </w:rPr>
        <w:t xml:space="preserve"> · </w:t>
      </w:r>
      <w:hyperlink r:id="rId46">
        <w:r>
          <w:rPr>
            <w:color w:val="2E74B5"/>
            <w:u w:val="single"/>
          </w:rPr>
          <w:t>U.S. Treasury — Restrictions visant la Banque centrale de Russie, 28 février 2022</w:t>
        </w:r>
      </w:hyperlink>
    </w:p>
    <w:p w14:paraId="7883DF56" w14:textId="77777777" w:rsidR="005A169D" w:rsidRDefault="00000000">
      <w:pPr>
        <w:pStyle w:val="Titre3"/>
      </w:pPr>
      <w:r>
        <w:t>Lecture guidée</w:t>
      </w:r>
    </w:p>
    <w:p w14:paraId="761BD92E"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USD/RUB monte brutalement : le rouble se déprécie. La paire se retourne ensuite et passe sous ses niveaux d'avant-guerre.</w:t>
      </w:r>
    </w:p>
    <w:p w14:paraId="2567AC21"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La hausse initiale reflète la fuite vers le dollar, les sanctions et l'incertitude. Le retournement reflète ensuite taux élevés, recettes d'exportation, conversions forcées et contrôles.</w:t>
      </w:r>
    </w:p>
    <w:p w14:paraId="15432F8E"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Un rouble plus fort dans un marché peu liquide et soumis à des restrictions ne prouve pas que l'économie est devenue plus solide. La convertibilité et la qualité du prix comptent.</w:t>
      </w:r>
    </w:p>
    <w:p w14:paraId="4D840B97" w14:textId="77777777" w:rsidR="005A169D" w:rsidRDefault="00000000">
      <w:pPr>
        <w:pStyle w:val="Titre2"/>
      </w:pPr>
      <w:r>
        <w:t>8.6 La chaîne complète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700"/>
        <w:gridCol w:w="4140"/>
        <w:gridCol w:w="3520"/>
      </w:tblGrid>
      <w:tr w:rsidR="005A169D" w14:paraId="7A107695" w14:textId="77777777">
        <w:trPr>
          <w:cantSplit/>
          <w:tblHeader/>
        </w:trPr>
        <w:tc>
          <w:tcPr>
            <w:tcW w:w="1700" w:type="dxa"/>
            <w:shd w:val="clear" w:color="auto" w:fill="F4F6F9"/>
            <w:tcMar>
              <w:top w:w="80" w:type="dxa"/>
              <w:left w:w="120" w:type="dxa"/>
              <w:bottom w:w="80" w:type="dxa"/>
              <w:right w:w="120" w:type="dxa"/>
            </w:tcMar>
            <w:vAlign w:val="center"/>
          </w:tcPr>
          <w:p w14:paraId="5DBD71C0" w14:textId="77777777" w:rsidR="005A169D" w:rsidRDefault="00000000">
            <w:pPr>
              <w:keepNext/>
              <w:spacing w:after="0" w:line="283" w:lineRule="auto"/>
              <w:jc w:val="left"/>
            </w:pPr>
            <w:r>
              <w:rPr>
                <w:rFonts w:eastAsia="Calibri"/>
                <w:b/>
                <w:color w:val="0B2545"/>
                <w:sz w:val="19"/>
              </w:rPr>
              <w:t>Choc</w:t>
            </w:r>
          </w:p>
        </w:tc>
        <w:tc>
          <w:tcPr>
            <w:tcW w:w="4140" w:type="dxa"/>
            <w:shd w:val="clear" w:color="auto" w:fill="F4F6F9"/>
            <w:tcMar>
              <w:top w:w="80" w:type="dxa"/>
              <w:left w:w="120" w:type="dxa"/>
              <w:bottom w:w="80" w:type="dxa"/>
              <w:right w:w="120" w:type="dxa"/>
            </w:tcMar>
            <w:vAlign w:val="center"/>
          </w:tcPr>
          <w:p w14:paraId="47C1C10B" w14:textId="77777777" w:rsidR="005A169D" w:rsidRDefault="00000000">
            <w:pPr>
              <w:keepNext/>
              <w:spacing w:after="0" w:line="283" w:lineRule="auto"/>
              <w:jc w:val="left"/>
            </w:pPr>
            <w:r>
              <w:rPr>
                <w:rFonts w:eastAsia="Calibri"/>
                <w:b/>
                <w:color w:val="0B2545"/>
                <w:sz w:val="19"/>
              </w:rPr>
              <w:t>Transmission</w:t>
            </w:r>
          </w:p>
        </w:tc>
        <w:tc>
          <w:tcPr>
            <w:tcW w:w="3520" w:type="dxa"/>
            <w:shd w:val="clear" w:color="auto" w:fill="F4F6F9"/>
            <w:tcMar>
              <w:top w:w="80" w:type="dxa"/>
              <w:left w:w="120" w:type="dxa"/>
              <w:bottom w:w="80" w:type="dxa"/>
              <w:right w:w="120" w:type="dxa"/>
            </w:tcMar>
            <w:vAlign w:val="center"/>
          </w:tcPr>
          <w:p w14:paraId="6F17AB38" w14:textId="77777777" w:rsidR="005A169D" w:rsidRDefault="00000000">
            <w:pPr>
              <w:keepNext/>
              <w:spacing w:after="0" w:line="283" w:lineRule="auto"/>
              <w:jc w:val="left"/>
            </w:pPr>
            <w:r>
              <w:rPr>
                <w:rFonts w:eastAsia="Calibri"/>
                <w:b/>
                <w:color w:val="0B2545"/>
                <w:sz w:val="19"/>
              </w:rPr>
              <w:t>Marchés observés</w:t>
            </w:r>
          </w:p>
        </w:tc>
      </w:tr>
      <w:tr w:rsidR="005A169D" w14:paraId="3E6A8774" w14:textId="77777777">
        <w:trPr>
          <w:cantSplit/>
        </w:trPr>
        <w:tc>
          <w:tcPr>
            <w:tcW w:w="1700" w:type="dxa"/>
            <w:tcMar>
              <w:top w:w="80" w:type="dxa"/>
              <w:left w:w="120" w:type="dxa"/>
              <w:bottom w:w="80" w:type="dxa"/>
              <w:right w:w="120" w:type="dxa"/>
            </w:tcMar>
            <w:vAlign w:val="center"/>
          </w:tcPr>
          <w:p w14:paraId="64A21A0D" w14:textId="77777777" w:rsidR="005A169D" w:rsidRDefault="00000000">
            <w:pPr>
              <w:keepNext/>
              <w:spacing w:after="0" w:line="283" w:lineRule="auto"/>
              <w:jc w:val="left"/>
            </w:pPr>
            <w:r>
              <w:rPr>
                <w:rFonts w:eastAsia="Calibri"/>
                <w:sz w:val="19"/>
              </w:rPr>
              <w:t>Énergie</w:t>
            </w:r>
          </w:p>
        </w:tc>
        <w:tc>
          <w:tcPr>
            <w:tcW w:w="4140" w:type="dxa"/>
            <w:tcMar>
              <w:top w:w="80" w:type="dxa"/>
              <w:left w:w="120" w:type="dxa"/>
              <w:bottom w:w="80" w:type="dxa"/>
              <w:right w:w="120" w:type="dxa"/>
            </w:tcMar>
            <w:vAlign w:val="center"/>
          </w:tcPr>
          <w:p w14:paraId="39CE6287" w14:textId="77777777" w:rsidR="005A169D" w:rsidRDefault="00000000">
            <w:pPr>
              <w:keepNext/>
              <w:spacing w:after="0" w:line="283" w:lineRule="auto"/>
              <w:jc w:val="left"/>
            </w:pPr>
            <w:r>
              <w:rPr>
                <w:rFonts w:eastAsia="Calibri"/>
                <w:sz w:val="19"/>
              </w:rPr>
              <w:t>Offre menacée → coûts → inflation → taux.</w:t>
            </w:r>
          </w:p>
        </w:tc>
        <w:tc>
          <w:tcPr>
            <w:tcW w:w="3520" w:type="dxa"/>
            <w:tcMar>
              <w:top w:w="80" w:type="dxa"/>
              <w:left w:w="120" w:type="dxa"/>
              <w:bottom w:w="80" w:type="dxa"/>
              <w:right w:w="120" w:type="dxa"/>
            </w:tcMar>
            <w:vAlign w:val="center"/>
          </w:tcPr>
          <w:p w14:paraId="3DA6ADE9" w14:textId="77777777" w:rsidR="005A169D" w:rsidRDefault="00000000">
            <w:pPr>
              <w:keepNext/>
              <w:spacing w:after="0" w:line="283" w:lineRule="auto"/>
              <w:jc w:val="left"/>
            </w:pPr>
            <w:r>
              <w:rPr>
                <w:rFonts w:eastAsia="Calibri"/>
                <w:sz w:val="19"/>
              </w:rPr>
              <w:t>Brent, gaz, obligations, actions.</w:t>
            </w:r>
          </w:p>
        </w:tc>
      </w:tr>
      <w:tr w:rsidR="005A169D" w14:paraId="6B846E72" w14:textId="77777777">
        <w:trPr>
          <w:cantSplit/>
        </w:trPr>
        <w:tc>
          <w:tcPr>
            <w:tcW w:w="1700" w:type="dxa"/>
            <w:shd w:val="clear" w:color="auto" w:fill="FAFBFC"/>
            <w:tcMar>
              <w:top w:w="80" w:type="dxa"/>
              <w:left w:w="120" w:type="dxa"/>
              <w:bottom w:w="80" w:type="dxa"/>
              <w:right w:w="120" w:type="dxa"/>
            </w:tcMar>
            <w:vAlign w:val="center"/>
          </w:tcPr>
          <w:p w14:paraId="17DB55BE" w14:textId="77777777" w:rsidR="005A169D" w:rsidRDefault="00000000">
            <w:pPr>
              <w:keepNext/>
              <w:spacing w:after="0" w:line="283" w:lineRule="auto"/>
              <w:jc w:val="left"/>
            </w:pPr>
            <w:r>
              <w:rPr>
                <w:rFonts w:eastAsia="Calibri"/>
                <w:sz w:val="19"/>
              </w:rPr>
              <w:t>Céréales</w:t>
            </w:r>
          </w:p>
        </w:tc>
        <w:tc>
          <w:tcPr>
            <w:tcW w:w="4140" w:type="dxa"/>
            <w:shd w:val="clear" w:color="auto" w:fill="FAFBFC"/>
            <w:tcMar>
              <w:top w:w="80" w:type="dxa"/>
              <w:left w:w="120" w:type="dxa"/>
              <w:bottom w:w="80" w:type="dxa"/>
              <w:right w:w="120" w:type="dxa"/>
            </w:tcMar>
            <w:vAlign w:val="center"/>
          </w:tcPr>
          <w:p w14:paraId="54752361" w14:textId="77777777" w:rsidR="005A169D" w:rsidRDefault="00000000">
            <w:pPr>
              <w:keepNext/>
              <w:spacing w:after="0" w:line="283" w:lineRule="auto"/>
              <w:jc w:val="left"/>
            </w:pPr>
            <w:r>
              <w:rPr>
                <w:rFonts w:eastAsia="Calibri"/>
                <w:sz w:val="19"/>
              </w:rPr>
              <w:t>Exportations perturbées → alimentation → pouvoir d'achat.</w:t>
            </w:r>
          </w:p>
        </w:tc>
        <w:tc>
          <w:tcPr>
            <w:tcW w:w="3520" w:type="dxa"/>
            <w:shd w:val="clear" w:color="auto" w:fill="FAFBFC"/>
            <w:tcMar>
              <w:top w:w="80" w:type="dxa"/>
              <w:left w:w="120" w:type="dxa"/>
              <w:bottom w:w="80" w:type="dxa"/>
              <w:right w:w="120" w:type="dxa"/>
            </w:tcMar>
            <w:vAlign w:val="center"/>
          </w:tcPr>
          <w:p w14:paraId="2CDB1369" w14:textId="77777777" w:rsidR="005A169D" w:rsidRDefault="00000000">
            <w:pPr>
              <w:keepNext/>
              <w:spacing w:after="0" w:line="283" w:lineRule="auto"/>
              <w:jc w:val="left"/>
            </w:pPr>
            <w:r>
              <w:rPr>
                <w:rFonts w:eastAsia="Calibri"/>
                <w:sz w:val="19"/>
              </w:rPr>
              <w:t>Blé, devises importatrices, consommation.</w:t>
            </w:r>
          </w:p>
        </w:tc>
      </w:tr>
      <w:tr w:rsidR="005A169D" w14:paraId="6D6486D8" w14:textId="77777777">
        <w:trPr>
          <w:cantSplit/>
        </w:trPr>
        <w:tc>
          <w:tcPr>
            <w:tcW w:w="1700" w:type="dxa"/>
            <w:tcMar>
              <w:top w:w="80" w:type="dxa"/>
              <w:left w:w="120" w:type="dxa"/>
              <w:bottom w:w="80" w:type="dxa"/>
              <w:right w:w="120" w:type="dxa"/>
            </w:tcMar>
            <w:vAlign w:val="center"/>
          </w:tcPr>
          <w:p w14:paraId="528DFA4F" w14:textId="77777777" w:rsidR="005A169D" w:rsidRDefault="00000000">
            <w:pPr>
              <w:keepNext/>
              <w:spacing w:after="0" w:line="283" w:lineRule="auto"/>
              <w:jc w:val="left"/>
            </w:pPr>
            <w:r>
              <w:rPr>
                <w:rFonts w:eastAsia="Calibri"/>
                <w:sz w:val="19"/>
              </w:rPr>
              <w:t>Sanctions</w:t>
            </w:r>
          </w:p>
        </w:tc>
        <w:tc>
          <w:tcPr>
            <w:tcW w:w="4140" w:type="dxa"/>
            <w:tcMar>
              <w:top w:w="80" w:type="dxa"/>
              <w:left w:w="120" w:type="dxa"/>
              <w:bottom w:w="80" w:type="dxa"/>
              <w:right w:w="120" w:type="dxa"/>
            </w:tcMar>
            <w:vAlign w:val="center"/>
          </w:tcPr>
          <w:p w14:paraId="2BC87BF2" w14:textId="77777777" w:rsidR="005A169D" w:rsidRDefault="00000000">
            <w:pPr>
              <w:keepNext/>
              <w:spacing w:after="0" w:line="283" w:lineRule="auto"/>
              <w:jc w:val="left"/>
            </w:pPr>
            <w:r>
              <w:rPr>
                <w:rFonts w:eastAsia="Calibri"/>
                <w:sz w:val="19"/>
              </w:rPr>
              <w:t>Paiements et financement limités → liquidité et change.</w:t>
            </w:r>
          </w:p>
        </w:tc>
        <w:tc>
          <w:tcPr>
            <w:tcW w:w="3520" w:type="dxa"/>
            <w:tcMar>
              <w:top w:w="80" w:type="dxa"/>
              <w:left w:w="120" w:type="dxa"/>
              <w:bottom w:w="80" w:type="dxa"/>
              <w:right w:w="120" w:type="dxa"/>
            </w:tcMar>
            <w:vAlign w:val="center"/>
          </w:tcPr>
          <w:p w14:paraId="4547C52F" w14:textId="77777777" w:rsidR="005A169D" w:rsidRDefault="00000000">
            <w:pPr>
              <w:keepNext/>
              <w:spacing w:after="0" w:line="283" w:lineRule="auto"/>
              <w:jc w:val="left"/>
            </w:pPr>
            <w:r>
              <w:rPr>
                <w:rFonts w:eastAsia="Calibri"/>
                <w:sz w:val="19"/>
              </w:rPr>
              <w:t>Rouble, banques, dette, or.</w:t>
            </w:r>
          </w:p>
        </w:tc>
      </w:tr>
      <w:tr w:rsidR="005A169D" w14:paraId="5707DA21" w14:textId="77777777">
        <w:trPr>
          <w:cantSplit/>
        </w:trPr>
        <w:tc>
          <w:tcPr>
            <w:tcW w:w="1700" w:type="dxa"/>
            <w:shd w:val="clear" w:color="auto" w:fill="FAFBFC"/>
            <w:tcMar>
              <w:top w:w="80" w:type="dxa"/>
              <w:left w:w="120" w:type="dxa"/>
              <w:bottom w:w="80" w:type="dxa"/>
              <w:right w:w="120" w:type="dxa"/>
            </w:tcMar>
            <w:vAlign w:val="center"/>
          </w:tcPr>
          <w:p w14:paraId="44960674" w14:textId="77777777" w:rsidR="005A169D" w:rsidRDefault="00000000">
            <w:pPr>
              <w:spacing w:after="0" w:line="283" w:lineRule="auto"/>
              <w:jc w:val="left"/>
            </w:pPr>
            <w:r>
              <w:rPr>
                <w:rFonts w:eastAsia="Calibri"/>
                <w:sz w:val="19"/>
              </w:rPr>
              <w:t>Incertitude</w:t>
            </w:r>
          </w:p>
        </w:tc>
        <w:tc>
          <w:tcPr>
            <w:tcW w:w="4140" w:type="dxa"/>
            <w:shd w:val="clear" w:color="auto" w:fill="FAFBFC"/>
            <w:tcMar>
              <w:top w:w="80" w:type="dxa"/>
              <w:left w:w="120" w:type="dxa"/>
              <w:bottom w:w="80" w:type="dxa"/>
              <w:right w:w="120" w:type="dxa"/>
            </w:tcMar>
            <w:vAlign w:val="center"/>
          </w:tcPr>
          <w:p w14:paraId="4A825EE4" w14:textId="77777777" w:rsidR="005A169D" w:rsidRDefault="00000000">
            <w:pPr>
              <w:spacing w:after="0" w:line="283" w:lineRule="auto"/>
              <w:jc w:val="left"/>
            </w:pPr>
            <w:r>
              <w:rPr>
                <w:rFonts w:eastAsia="Calibri"/>
                <w:sz w:val="19"/>
              </w:rPr>
              <w:t>Couverture et réduction du risque → options plus chères.</w:t>
            </w:r>
          </w:p>
        </w:tc>
        <w:tc>
          <w:tcPr>
            <w:tcW w:w="3520" w:type="dxa"/>
            <w:shd w:val="clear" w:color="auto" w:fill="FAFBFC"/>
            <w:tcMar>
              <w:top w:w="80" w:type="dxa"/>
              <w:left w:w="120" w:type="dxa"/>
              <w:bottom w:w="80" w:type="dxa"/>
              <w:right w:w="120" w:type="dxa"/>
            </w:tcMar>
            <w:vAlign w:val="center"/>
          </w:tcPr>
          <w:p w14:paraId="067F2700" w14:textId="77777777" w:rsidR="005A169D" w:rsidRDefault="00000000">
            <w:pPr>
              <w:spacing w:after="0" w:line="283" w:lineRule="auto"/>
              <w:jc w:val="left"/>
            </w:pPr>
            <w:r>
              <w:rPr>
                <w:rFonts w:eastAsia="Calibri"/>
                <w:sz w:val="19"/>
              </w:rPr>
              <w:t>VIX, indices, dollar, or.</w:t>
            </w:r>
          </w:p>
        </w:tc>
      </w:tr>
    </w:tbl>
    <w:p w14:paraId="6348077E" w14:textId="77777777" w:rsidR="005A169D" w:rsidRDefault="005A169D">
      <w:pPr>
        <w:spacing w:after="100"/>
      </w:pPr>
    </w:p>
    <w:p w14:paraId="5D544F01"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Un grand événement doit être lu en panier d'actifs. Si pétrole et blé montent, que les devises exposées baissent et que les taux d'inflation anticipée progressent, la chaîne est plus crédible qu'un mouvement isolé.</w:t>
      </w:r>
    </w:p>
    <w:p w14:paraId="54133AE6" w14:textId="77777777" w:rsidR="005A169D" w:rsidRDefault="00000000">
      <w:pPr>
        <w:pStyle w:val="Titre1"/>
        <w:keepNext/>
        <w:spacing w:after="140"/>
      </w:pPr>
      <w:r>
        <w:rPr>
          <w:rFonts w:eastAsia="Calibri"/>
          <w:b/>
          <w:color w:val="0B2545"/>
          <w:sz w:val="48"/>
        </w:rPr>
        <w:t>9. Dossier 5 — Semi-conducteurs</w:t>
      </w:r>
    </w:p>
    <w:p w14:paraId="00C75B61" w14:textId="77777777" w:rsidR="005A169D" w:rsidRDefault="00000000">
      <w:pPr>
        <w:keepNext/>
        <w:spacing w:after="320"/>
      </w:pPr>
      <w:r>
        <w:rPr>
          <w:rFonts w:eastAsia="Calibri"/>
          <w:i/>
          <w:color w:val="1F4D78"/>
          <w:sz w:val="26"/>
        </w:rPr>
        <w:t>Quand la technologie devient un instrument de sécurité nationale.</w:t>
      </w:r>
    </w:p>
    <w:p w14:paraId="7B095933" w14:textId="77777777" w:rsidR="005A169D" w:rsidRDefault="00000000">
      <w:pPr>
        <w:pStyle w:val="Titre2"/>
      </w:pPr>
      <w:r>
        <w:t>9.1 Pourquoi les puces sont géopolitiques</w:t>
      </w:r>
    </w:p>
    <w:p w14:paraId="30AFE5E0" w14:textId="77777777" w:rsidR="005A169D" w:rsidRDefault="00000000">
      <w:r>
        <w:rPr>
          <w:rFonts w:eastAsia="Calibri"/>
        </w:rPr>
        <w:t>Les semi-conducteurs sont utilisés dans les centres de données, les télécommunications, l'automobile, l'industrie et la défense. Leur chaîne de valeur est spécialisée : conception, logiciels, machines, matériaux, fabrication et assemblage peuvent dépendre de pays différents. Une restriction à un seul maillon peut donc toucher plusieurs entreprises.</w:t>
      </w:r>
    </w:p>
    <w:p w14:paraId="67129A6A" w14:textId="77777777" w:rsidR="005A169D" w:rsidRDefault="00000000">
      <w:pPr>
        <w:pStyle w:val="Titre2"/>
      </w:pPr>
      <w:r>
        <w:t>9.2 Les contrôles du 7 octobre 2022</w:t>
      </w:r>
    </w:p>
    <w:p w14:paraId="4FBABEC1" w14:textId="77777777" w:rsidR="005A169D" w:rsidRDefault="00000000">
      <w:r>
        <w:rPr>
          <w:rFonts w:eastAsia="Calibri"/>
        </w:rPr>
        <w:t>Le Bureau of Industry and Security américain annonce le 7 octobre 2022 de nouveaux contrôles visant certains composants de calcul avancé, les supercalculateurs, des équipements de fabrication et certaines activités de personnes américaines. Le but déclaré est de limiter l'accès de la Chine à des capacités avancées présentant un enjeu de sécurité nationale.</w:t>
      </w:r>
    </w:p>
    <w:p w14:paraId="4A34E1AE" w14:textId="77777777" w:rsidR="005A169D" w:rsidRDefault="00000000">
      <w:pPr>
        <w:keepNext/>
        <w:spacing w:before="120" w:after="80"/>
        <w:jc w:val="center"/>
      </w:pPr>
      <w:r>
        <w:rPr>
          <w:noProof/>
        </w:rPr>
        <w:drawing>
          <wp:inline distT="0" distB="0" distL="0" distR="0" wp14:anchorId="61234AFE" wp14:editId="2200DD59">
            <wp:extent cx="5120640" cy="4560570"/>
            <wp:effectExtent l="0" t="0" r="0" b="0"/>
            <wp:docPr id="10" name="Picture 10" descr="Graphique TradingView de l'indice SOX, déjà baissier avant les contrôles d'octobre 2022, puis en reprise à partir de novembre." title="Figure 10 — Philadelphia Semiconductor Index en journalier, août à décemb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conductors_sox_annote.jpg"/>
                    <pic:cNvPicPr/>
                  </pic:nvPicPr>
                  <pic:blipFill>
                    <a:blip r:embed="rId47"/>
                    <a:stretch>
                      <a:fillRect/>
                    </a:stretch>
                  </pic:blipFill>
                  <pic:spPr>
                    <a:xfrm>
                      <a:off x="0" y="0"/>
                      <a:ext cx="5120640" cy="4560570"/>
                    </a:xfrm>
                    <a:prstGeom prst="rect">
                      <a:avLst/>
                    </a:prstGeom>
                  </pic:spPr>
                </pic:pic>
              </a:graphicData>
            </a:graphic>
          </wp:inline>
        </w:drawing>
      </w:r>
    </w:p>
    <w:p w14:paraId="69C2BBCE" w14:textId="77777777" w:rsidR="005A169D" w:rsidRDefault="00000000">
      <w:pPr>
        <w:keepNext/>
        <w:spacing w:after="0"/>
        <w:jc w:val="center"/>
      </w:pPr>
      <w:r>
        <w:rPr>
          <w:rFonts w:eastAsia="Calibri"/>
          <w:b/>
          <w:sz w:val="19"/>
        </w:rPr>
        <w:t>Figure 10 — Philadelphia Semiconductor Index en journalier, août à décembre 2022.</w:t>
      </w:r>
    </w:p>
    <w:p w14:paraId="6EABC7BE" w14:textId="77777777" w:rsidR="005A169D" w:rsidRDefault="00000000">
      <w:pPr>
        <w:spacing w:before="40" w:after="100"/>
        <w:jc w:val="center"/>
      </w:pPr>
      <w:r>
        <w:rPr>
          <w:rFonts w:eastAsia="Calibri"/>
          <w:i/>
          <w:color w:val="667085"/>
          <w:sz w:val="17"/>
        </w:rPr>
        <w:t xml:space="preserve">Source : </w:t>
      </w:r>
      <w:hyperlink r:id="rId48">
        <w:r>
          <w:rPr>
            <w:color w:val="2E74B5"/>
            <w:u w:val="single"/>
          </w:rPr>
          <w:t>TradingView — Philadelphia Semiconductor Index (NASDAQ:SOX)</w:t>
        </w:r>
      </w:hyperlink>
      <w:r>
        <w:rPr>
          <w:rFonts w:eastAsia="Calibri"/>
          <w:color w:val="667085"/>
          <w:sz w:val="17"/>
        </w:rPr>
        <w:t xml:space="preserve"> · </w:t>
      </w:r>
      <w:hyperlink r:id="rId49">
        <w:r>
          <w:rPr>
            <w:color w:val="2E74B5"/>
            <w:u w:val="single"/>
          </w:rPr>
          <w:t>U.S. BIS — Contrôles sur les semi-conducteurs avancés, 7 octobre 2022</w:t>
        </w:r>
      </w:hyperlink>
    </w:p>
    <w:p w14:paraId="4F1AB22B" w14:textId="77777777" w:rsidR="005A169D" w:rsidRDefault="00000000">
      <w:pPr>
        <w:pStyle w:val="Titre3"/>
      </w:pPr>
      <w:r>
        <w:t>Lecture guidée</w:t>
      </w:r>
    </w:p>
    <w:p w14:paraId="4E31F60F"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L'indice baisse fortement avant le 7 octobre, atteint un creux autour de la publication, puis rebondit en novembre.</w:t>
      </w:r>
    </w:p>
    <w:p w14:paraId="6DB98081"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Les contrôles ajoutent un risque sur certains revenus et certaines chaînes d'approvisionnement, mais le prix intègre aussi le cycle des puces, les taux et la valorisation des valeurs technologiques.</w:t>
      </w:r>
    </w:p>
    <w:p w14:paraId="0083B3A7"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La coïncidence entre un creux et une annonce ne prouve pas que l'annonce a causé l'ensemble de la baisse. Une étude causale exigerait de comparer entreprises exposées et peu exposées, ainsi que les autres facteurs.</w:t>
      </w:r>
    </w:p>
    <w:p w14:paraId="578FB89A" w14:textId="77777777" w:rsidR="005A169D" w:rsidRDefault="00000000">
      <w:pPr>
        <w:pStyle w:val="Titre2"/>
      </w:pPr>
      <w:r>
        <w:t>9.3 Analyser une entreprise exposée</w:t>
      </w:r>
    </w:p>
    <w:p w14:paraId="3FA9C8DC" w14:textId="77777777" w:rsidR="005A169D" w:rsidRDefault="00000000">
      <w:pPr>
        <w:numPr>
          <w:ilvl w:val="0"/>
          <w:numId w:val="1"/>
        </w:numPr>
        <w:spacing w:after="80" w:line="300" w:lineRule="auto"/>
      </w:pPr>
      <w:r>
        <w:rPr>
          <w:rFonts w:eastAsia="Calibri"/>
          <w:color w:val="111111"/>
        </w:rPr>
        <w:t>Quelle part du chiffre d'affaires dépend du pays visé ?</w:t>
      </w:r>
    </w:p>
    <w:p w14:paraId="6F8B67DA" w14:textId="77777777" w:rsidR="005A169D" w:rsidRDefault="00000000">
      <w:pPr>
        <w:numPr>
          <w:ilvl w:val="0"/>
          <w:numId w:val="1"/>
        </w:numPr>
        <w:spacing w:after="80" w:line="300" w:lineRule="auto"/>
      </w:pPr>
      <w:r>
        <w:rPr>
          <w:rFonts w:eastAsia="Calibri"/>
          <w:color w:val="111111"/>
        </w:rPr>
        <w:t>Quels produits sont réellement soumis à licence ?</w:t>
      </w:r>
    </w:p>
    <w:p w14:paraId="521BFE6B" w14:textId="77777777" w:rsidR="005A169D" w:rsidRDefault="00000000">
      <w:pPr>
        <w:numPr>
          <w:ilvl w:val="0"/>
          <w:numId w:val="1"/>
        </w:numPr>
        <w:spacing w:after="80" w:line="300" w:lineRule="auto"/>
      </w:pPr>
      <w:r>
        <w:rPr>
          <w:rFonts w:eastAsia="Calibri"/>
          <w:color w:val="111111"/>
        </w:rPr>
        <w:t>L'entreprise peut-elle modifier le produit ou trouver d'autres clients ?</w:t>
      </w:r>
    </w:p>
    <w:p w14:paraId="16FC4230" w14:textId="77777777" w:rsidR="005A169D" w:rsidRDefault="00000000">
      <w:pPr>
        <w:numPr>
          <w:ilvl w:val="0"/>
          <w:numId w:val="1"/>
        </w:numPr>
        <w:spacing w:after="80" w:line="300" w:lineRule="auto"/>
      </w:pPr>
      <w:r>
        <w:rPr>
          <w:rFonts w:eastAsia="Calibri"/>
          <w:color w:val="111111"/>
        </w:rPr>
        <w:t>Combien de temps faudra-t-il avant que la règle affecte les ventes et les marges ?</w:t>
      </w:r>
    </w:p>
    <w:p w14:paraId="6683F3D1" w14:textId="77777777" w:rsidR="005A169D" w:rsidRDefault="00000000">
      <w:pPr>
        <w:numPr>
          <w:ilvl w:val="0"/>
          <w:numId w:val="1"/>
        </w:numPr>
        <w:spacing w:after="80" w:line="300" w:lineRule="auto"/>
      </w:pPr>
      <w:r>
        <w:rPr>
          <w:rFonts w:eastAsia="Calibri"/>
          <w:color w:val="111111"/>
        </w:rPr>
        <w:t>Le cours a-t-il déjà baissé avant l'entrée en vigueur ?</w:t>
      </w:r>
    </w:p>
    <w:p w14:paraId="6F2D8498" w14:textId="77777777" w:rsidR="005A169D" w:rsidRDefault="00000000">
      <w:pPr>
        <w:numPr>
          <w:ilvl w:val="0"/>
          <w:numId w:val="1"/>
        </w:numPr>
        <w:spacing w:after="80" w:line="300" w:lineRule="auto"/>
      </w:pPr>
      <w:r>
        <w:rPr>
          <w:rFonts w:eastAsia="Calibri"/>
          <w:color w:val="111111"/>
        </w:rPr>
        <w:t>Le secteur entier est-il faible pour une raison macroéconomique indépendante ?</w:t>
      </w:r>
    </w:p>
    <w:p w14:paraId="4044BC19"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Pour une sanction technologique, le titre de presse est trop large. L'analyse utile descend jusqu'au produit, au client, à la licence, au délai et à la part de revenu réellement exposée.</w:t>
      </w:r>
    </w:p>
    <w:p w14:paraId="5C3829AF" w14:textId="77777777" w:rsidR="005A169D" w:rsidRDefault="00000000">
      <w:pPr>
        <w:pStyle w:val="Titre1"/>
        <w:keepNext/>
        <w:spacing w:after="140"/>
      </w:pPr>
      <w:r>
        <w:rPr>
          <w:rFonts w:eastAsia="Calibri"/>
          <w:b/>
          <w:color w:val="0B2545"/>
          <w:sz w:val="48"/>
        </w:rPr>
        <w:t>10. Dossier 6 — Mer Rouge et routes maritimes</w:t>
      </w:r>
    </w:p>
    <w:p w14:paraId="71A41688" w14:textId="77777777" w:rsidR="005A169D" w:rsidRDefault="00000000">
      <w:pPr>
        <w:keepNext/>
        <w:spacing w:after="320"/>
      </w:pPr>
      <w:r>
        <w:rPr>
          <w:rFonts w:eastAsia="Calibri"/>
          <w:i/>
          <w:color w:val="1F4D78"/>
          <w:sz w:val="26"/>
        </w:rPr>
        <w:t>Un choc géographique rallonge les trajets, mobilise plus de navires et augmente les coûts.</w:t>
      </w:r>
    </w:p>
    <w:p w14:paraId="3F015831" w14:textId="77777777" w:rsidR="005A169D" w:rsidRDefault="00000000">
      <w:pPr>
        <w:pStyle w:val="Titre2"/>
      </w:pPr>
      <w:r>
        <w:t>10.1 Le mécanisme</w:t>
      </w:r>
    </w:p>
    <w:p w14:paraId="31A12226" w14:textId="77777777" w:rsidR="005A169D" w:rsidRDefault="00000000">
      <w:r>
        <w:rPr>
          <w:rFonts w:eastAsia="Calibri"/>
        </w:rPr>
        <w:t>À partir de novembre 2023, les attaques contre des navires en mer Rouge conduisent plusieurs compagnies à éviter Bab el-Mandeb et le canal de Suez. Le détour par le cap de Bonne-Espérance rallonge le voyage. Un trajet plus long consomme davantage de carburant, immobilise le navire plus longtemps et augmente les besoins d'assurance, de personnel et de capacité.</w:t>
      </w:r>
    </w:p>
    <w:p w14:paraId="0DA7D730" w14:textId="77777777" w:rsidR="005A169D" w:rsidRDefault="00000000">
      <w:r>
        <w:rPr>
          <w:rFonts w:eastAsia="Calibri"/>
        </w:rPr>
        <w:t>La CNUCED observe une forte baisse des transits et une hausse des coûts de transport. Mais les effets diffèrent selon les marchandises : conteneurs, vrac sec, pétrole et gaz utilisent des navires et des indices différents.</w:t>
      </w:r>
    </w:p>
    <w:p w14:paraId="7AF6F592" w14:textId="77777777" w:rsidR="005A169D" w:rsidRDefault="00000000">
      <w:pPr>
        <w:pStyle w:val="Titre2"/>
      </w:pPr>
      <w:r>
        <w:t>10.2 Le Baltic Dry Index comme proxy imparfait</w:t>
      </w:r>
    </w:p>
    <w:p w14:paraId="6F37D786" w14:textId="77777777" w:rsidR="005A169D" w:rsidRDefault="00000000">
      <w:r>
        <w:rPr>
          <w:rFonts w:eastAsia="Calibri"/>
        </w:rPr>
        <w:t>Le Baltic Dry Index est un indice de fret pour le vrac sec, construit à partir de moyennes de revenus de navires Capesize, Panamax et Supramax. Il concerne notamment le minerai de fer, le charbon et les céréales. Il ne mesure pas directement le prix des conteneurs ni le coût de tous les trajets passant par Suez.</w:t>
      </w:r>
    </w:p>
    <w:p w14:paraId="4C5428B0" w14:textId="77777777" w:rsidR="005A169D" w:rsidRDefault="00000000">
      <w:pPr>
        <w:keepNext/>
        <w:spacing w:before="120" w:after="80"/>
        <w:jc w:val="center"/>
      </w:pPr>
      <w:r>
        <w:rPr>
          <w:noProof/>
        </w:rPr>
        <w:drawing>
          <wp:inline distT="0" distB="0" distL="0" distR="0" wp14:anchorId="16386877" wp14:editId="0D0C5B80">
            <wp:extent cx="5623560" cy="5008483"/>
            <wp:effectExtent l="0" t="0" r="0" b="0"/>
            <wp:docPr id="11" name="Picture 11" descr="Graphique TradingView hebdomadaire du Baltic Dry Index avec hausse vers décembre 2023 puis fortes fluctuations en 2024." title="Figure 11 — Baltic Dry Index en hebdomadaire, septembre 2023 à ju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sea_bdi_annote.jpg"/>
                    <pic:cNvPicPr/>
                  </pic:nvPicPr>
                  <pic:blipFill>
                    <a:blip r:embed="rId50"/>
                    <a:stretch>
                      <a:fillRect/>
                    </a:stretch>
                  </pic:blipFill>
                  <pic:spPr>
                    <a:xfrm>
                      <a:off x="0" y="0"/>
                      <a:ext cx="5623560" cy="5008483"/>
                    </a:xfrm>
                    <a:prstGeom prst="rect">
                      <a:avLst/>
                    </a:prstGeom>
                  </pic:spPr>
                </pic:pic>
              </a:graphicData>
            </a:graphic>
          </wp:inline>
        </w:drawing>
      </w:r>
    </w:p>
    <w:p w14:paraId="53A9CF43" w14:textId="77777777" w:rsidR="005A169D" w:rsidRDefault="00000000">
      <w:pPr>
        <w:keepNext/>
        <w:spacing w:after="0"/>
        <w:jc w:val="center"/>
      </w:pPr>
      <w:r>
        <w:rPr>
          <w:rFonts w:eastAsia="Calibri"/>
          <w:b/>
          <w:sz w:val="19"/>
        </w:rPr>
        <w:t>Figure 11 — Baltic Dry Index en hebdomadaire, septembre 2023 à juin 2024.</w:t>
      </w:r>
    </w:p>
    <w:p w14:paraId="348129B0" w14:textId="77777777" w:rsidR="005A169D" w:rsidRDefault="00000000">
      <w:pPr>
        <w:spacing w:before="40" w:after="100"/>
        <w:jc w:val="center"/>
      </w:pPr>
      <w:r>
        <w:rPr>
          <w:rFonts w:eastAsia="Calibri"/>
          <w:i/>
          <w:color w:val="667085"/>
          <w:sz w:val="17"/>
        </w:rPr>
        <w:t xml:space="preserve">Source : </w:t>
      </w:r>
      <w:hyperlink r:id="rId51">
        <w:r>
          <w:rPr>
            <w:color w:val="2E74B5"/>
            <w:u w:val="single"/>
          </w:rPr>
          <w:t>TradingView — Baltic Dry Index (INDEX:BDI)</w:t>
        </w:r>
      </w:hyperlink>
      <w:r>
        <w:rPr>
          <w:rFonts w:eastAsia="Calibri"/>
          <w:color w:val="667085"/>
          <w:sz w:val="17"/>
        </w:rPr>
        <w:t xml:space="preserve"> · </w:t>
      </w:r>
      <w:hyperlink r:id="rId52">
        <w:r>
          <w:rPr>
            <w:color w:val="2E74B5"/>
            <w:u w:val="single"/>
          </w:rPr>
          <w:t>Baltic Exchange — Définition officielle du Baltic Dry Index</w:t>
        </w:r>
      </w:hyperlink>
      <w:r>
        <w:rPr>
          <w:rFonts w:eastAsia="Calibri"/>
          <w:color w:val="667085"/>
          <w:sz w:val="17"/>
        </w:rPr>
        <w:t xml:space="preserve"> · </w:t>
      </w:r>
      <w:hyperlink r:id="rId53">
        <w:r>
          <w:rPr>
            <w:color w:val="2E74B5"/>
            <w:u w:val="single"/>
          </w:rPr>
          <w:t>CNUCED — Navigating troubled waters: Red Sea, Black Sea and Panama Canal, 2024</w:t>
        </w:r>
      </w:hyperlink>
      <w:r>
        <w:rPr>
          <w:rFonts w:eastAsia="Calibri"/>
          <w:color w:val="667085"/>
          <w:sz w:val="17"/>
        </w:rPr>
        <w:t xml:space="preserve"> · </w:t>
      </w:r>
      <w:hyperlink r:id="rId54">
        <w:r>
          <w:rPr>
            <w:color w:val="2E74B5"/>
            <w:u w:val="single"/>
          </w:rPr>
          <w:t>CNUCED — Suez and Panama Canal disruptions threaten global trade, 22 octobre 2024</w:t>
        </w:r>
      </w:hyperlink>
    </w:p>
    <w:p w14:paraId="5A291170" w14:textId="77777777" w:rsidR="005A169D" w:rsidRDefault="00000000">
      <w:pPr>
        <w:pStyle w:val="Titre3"/>
      </w:pPr>
      <w:r>
        <w:t>Lecture guidée</w:t>
      </w:r>
    </w:p>
    <w:p w14:paraId="748EE0FB"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CE QUE L'ON OBSERVE  </w:t>
      </w:r>
      <w:r>
        <w:rPr>
          <w:rFonts w:eastAsia="Calibri"/>
          <w:sz w:val="21"/>
        </w:rPr>
        <w:t>L'indice accélère fortement vers décembre 2023, puis retombe et connaît une nouvelle phase de hausse au début de 2024.</w:t>
      </w:r>
    </w:p>
    <w:p w14:paraId="285A0195"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CE QUE CELA SIGNIFIE  </w:t>
      </w:r>
      <w:r>
        <w:rPr>
          <w:rFonts w:eastAsia="Calibri"/>
          <w:sz w:val="21"/>
        </w:rPr>
        <w:t>Les perturbations et les distances supplémentaires peuvent soutenir les coûts de fret, mais la demande de minerai, charbon et céréales ainsi que la disponibilité des navires restent essentielles.</w:t>
      </w:r>
    </w:p>
    <w:p w14:paraId="1FFB8979"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CE QUE LE GRAPHIQUE NE PROUVE PAS  </w:t>
      </w:r>
      <w:r>
        <w:rPr>
          <w:rFonts w:eastAsia="Calibri"/>
          <w:sz w:val="21"/>
        </w:rPr>
        <w:t>Le BDI n'est pas un indice de conteneurs et le canal de Suez n'est pas son seul moteur. L'utiliser comme preuve unique de la crise de la mer Rouge serait incorrect.</w:t>
      </w:r>
    </w:p>
    <w:p w14:paraId="0FD5A05B" w14:textId="77777777" w:rsidR="005A169D" w:rsidRDefault="00000000">
      <w:pPr>
        <w:pStyle w:val="Titre2"/>
      </w:pPr>
      <w:r>
        <w:t>10.3 De la route maritime à l'inflation</w:t>
      </w:r>
    </w:p>
    <w:p w14:paraId="11757BC8" w14:textId="77777777" w:rsidR="005A169D" w:rsidRDefault="00000000">
      <w:pPr>
        <w:numPr>
          <w:ilvl w:val="0"/>
          <w:numId w:val="1"/>
        </w:numPr>
        <w:spacing w:after="80" w:line="300" w:lineRule="auto"/>
      </w:pPr>
      <w:r>
        <w:rPr>
          <w:rFonts w:eastAsia="Calibri"/>
          <w:color w:val="111111"/>
        </w:rPr>
        <w:t>Détour plus long : plus de carburant et plus de jours de transport.</w:t>
      </w:r>
    </w:p>
    <w:p w14:paraId="631A6E63" w14:textId="77777777" w:rsidR="005A169D" w:rsidRDefault="00000000">
      <w:pPr>
        <w:numPr>
          <w:ilvl w:val="0"/>
          <w:numId w:val="1"/>
        </w:numPr>
        <w:spacing w:after="80" w:line="300" w:lineRule="auto"/>
      </w:pPr>
      <w:r>
        <w:rPr>
          <w:rFonts w:eastAsia="Calibri"/>
          <w:color w:val="111111"/>
        </w:rPr>
        <w:t>Capacité immobilisée : moins de navires disponibles pour le même volume annuel.</w:t>
      </w:r>
    </w:p>
    <w:p w14:paraId="0809B7CA" w14:textId="77777777" w:rsidR="005A169D" w:rsidRDefault="00000000">
      <w:pPr>
        <w:numPr>
          <w:ilvl w:val="0"/>
          <w:numId w:val="1"/>
        </w:numPr>
        <w:spacing w:after="80" w:line="300" w:lineRule="auto"/>
      </w:pPr>
      <w:r>
        <w:rPr>
          <w:rFonts w:eastAsia="Calibri"/>
          <w:color w:val="111111"/>
        </w:rPr>
        <w:t>Assurance et sécurité : prime supplémentaire sur certaines zones.</w:t>
      </w:r>
    </w:p>
    <w:p w14:paraId="77DC8277" w14:textId="77777777" w:rsidR="005A169D" w:rsidRDefault="00000000">
      <w:pPr>
        <w:numPr>
          <w:ilvl w:val="0"/>
          <w:numId w:val="1"/>
        </w:numPr>
        <w:spacing w:after="80" w:line="300" w:lineRule="auto"/>
      </w:pPr>
      <w:r>
        <w:rPr>
          <w:rFonts w:eastAsia="Calibri"/>
          <w:color w:val="111111"/>
        </w:rPr>
        <w:t>Délais : stocks de sécurité plus élevés pour les entreprises.</w:t>
      </w:r>
    </w:p>
    <w:p w14:paraId="61861760" w14:textId="77777777" w:rsidR="005A169D" w:rsidRDefault="00000000">
      <w:pPr>
        <w:numPr>
          <w:ilvl w:val="0"/>
          <w:numId w:val="1"/>
        </w:numPr>
        <w:spacing w:after="80" w:line="300" w:lineRule="auto"/>
      </w:pPr>
      <w:r>
        <w:rPr>
          <w:rFonts w:eastAsia="Calibri"/>
          <w:color w:val="111111"/>
        </w:rPr>
        <w:t>Prix final : une partie du surcoût peut être transmise au client.</w:t>
      </w:r>
    </w:p>
    <w:p w14:paraId="703B995C" w14:textId="77777777" w:rsidR="005A169D" w:rsidRDefault="00000000">
      <w:pPr>
        <w:keepLines/>
        <w:pBdr>
          <w:left w:val="single" w:sz="18" w:space="8" w:color="8A6400"/>
        </w:pBdr>
        <w:shd w:val="clear" w:color="auto" w:fill="FFF7DD"/>
        <w:spacing w:before="100" w:after="200" w:line="288" w:lineRule="auto"/>
        <w:ind w:left="173" w:right="115"/>
      </w:pPr>
      <w:r>
        <w:rPr>
          <w:rFonts w:eastAsia="Calibri"/>
          <w:b/>
          <w:color w:val="8A6400"/>
          <w:sz w:val="20"/>
        </w:rPr>
        <w:t xml:space="preserve">LEÇON TRANSFÉRABLE  </w:t>
      </w:r>
      <w:r>
        <w:rPr>
          <w:rFonts w:eastAsia="Calibri"/>
          <w:sz w:val="21"/>
        </w:rPr>
        <w:t>Choisis l'indicateur qui correspond au flux étudié. Un mauvais proxy peut produire une histoire convaincante mais fausse. Le graphique doit confirmer le mécanisme exact, pas seulement ressembler au récit.</w:t>
      </w:r>
    </w:p>
    <w:p w14:paraId="3236E027" w14:textId="77777777" w:rsidR="005A169D" w:rsidRDefault="00000000">
      <w:pPr>
        <w:pStyle w:val="Titre1"/>
        <w:keepNext/>
        <w:spacing w:after="140"/>
      </w:pPr>
      <w:r>
        <w:rPr>
          <w:rFonts w:eastAsia="Calibri"/>
          <w:b/>
          <w:color w:val="0B2545"/>
          <w:sz w:val="48"/>
        </w:rPr>
        <w:t>11. Méthode d'analyse et de décision</w:t>
      </w:r>
    </w:p>
    <w:p w14:paraId="7E420EA2" w14:textId="77777777" w:rsidR="005A169D" w:rsidRDefault="00000000">
      <w:pPr>
        <w:keepNext/>
        <w:spacing w:after="320"/>
      </w:pPr>
      <w:r>
        <w:rPr>
          <w:rFonts w:eastAsia="Calibri"/>
          <w:i/>
          <w:color w:val="1F4D78"/>
          <w:sz w:val="26"/>
        </w:rPr>
        <w:t>Construire plusieurs scénarios avant que le marché ne force une décision émotionnelle.</w:t>
      </w:r>
    </w:p>
    <w:p w14:paraId="47384E38" w14:textId="77777777" w:rsidR="005A169D" w:rsidRDefault="00000000">
      <w:pPr>
        <w:pStyle w:val="Titre2"/>
      </w:pPr>
      <w:r>
        <w:t>11.1 Les huit questions indispensables</w:t>
      </w:r>
    </w:p>
    <w:p w14:paraId="561D8D70" w14:textId="77777777" w:rsidR="005A169D" w:rsidRDefault="00000000">
      <w:pPr>
        <w:numPr>
          <w:ilvl w:val="0"/>
          <w:numId w:val="1"/>
        </w:numPr>
        <w:spacing w:after="80" w:line="300" w:lineRule="auto"/>
      </w:pPr>
      <w:r>
        <w:rPr>
          <w:rFonts w:eastAsia="Calibri"/>
          <w:color w:val="111111"/>
        </w:rPr>
        <w:t>Que s'est-il réellement passé, et quelle source primaire le confirme ?</w:t>
      </w:r>
    </w:p>
    <w:p w14:paraId="46C7EC63" w14:textId="77777777" w:rsidR="005A169D" w:rsidRDefault="00000000">
      <w:pPr>
        <w:numPr>
          <w:ilvl w:val="0"/>
          <w:numId w:val="1"/>
        </w:numPr>
        <w:spacing w:after="80" w:line="300" w:lineRule="auto"/>
      </w:pPr>
      <w:r>
        <w:rPr>
          <w:rFonts w:eastAsia="Calibri"/>
          <w:color w:val="111111"/>
        </w:rPr>
        <w:t>Quel flux physique, juridique, financier ou technologique change ?</w:t>
      </w:r>
    </w:p>
    <w:p w14:paraId="7EC45E9D" w14:textId="77777777" w:rsidR="005A169D" w:rsidRDefault="00000000">
      <w:pPr>
        <w:numPr>
          <w:ilvl w:val="0"/>
          <w:numId w:val="1"/>
        </w:numPr>
        <w:spacing w:after="80" w:line="300" w:lineRule="auto"/>
      </w:pPr>
      <w:r>
        <w:rPr>
          <w:rFonts w:eastAsia="Calibri"/>
          <w:color w:val="111111"/>
        </w:rPr>
        <w:t>Quels pays, secteurs et entreprises sont directement exposés ?</w:t>
      </w:r>
    </w:p>
    <w:p w14:paraId="4E6EA645" w14:textId="77777777" w:rsidR="005A169D" w:rsidRDefault="00000000">
      <w:pPr>
        <w:numPr>
          <w:ilvl w:val="0"/>
          <w:numId w:val="1"/>
        </w:numPr>
        <w:spacing w:after="80" w:line="300" w:lineRule="auto"/>
      </w:pPr>
      <w:r>
        <w:rPr>
          <w:rFonts w:eastAsia="Calibri"/>
          <w:color w:val="111111"/>
        </w:rPr>
        <w:t>Quelle part du scénario était déjà anticipée par le marché ?</w:t>
      </w:r>
    </w:p>
    <w:p w14:paraId="05ED7B03" w14:textId="77777777" w:rsidR="005A169D" w:rsidRDefault="00000000">
      <w:pPr>
        <w:numPr>
          <w:ilvl w:val="0"/>
          <w:numId w:val="1"/>
        </w:numPr>
        <w:spacing w:after="80" w:line="300" w:lineRule="auto"/>
      </w:pPr>
      <w:r>
        <w:rPr>
          <w:rFonts w:eastAsia="Calibri"/>
          <w:color w:val="111111"/>
        </w:rPr>
        <w:t>Le choc concerne-t-il surtout la croissance, l'inflation ou la liquidité ?</w:t>
      </w:r>
    </w:p>
    <w:p w14:paraId="0294E2AF" w14:textId="77777777" w:rsidR="005A169D" w:rsidRDefault="00000000">
      <w:pPr>
        <w:numPr>
          <w:ilvl w:val="0"/>
          <w:numId w:val="1"/>
        </w:numPr>
        <w:spacing w:after="80" w:line="300" w:lineRule="auto"/>
      </w:pPr>
      <w:r>
        <w:rPr>
          <w:rFonts w:eastAsia="Calibri"/>
          <w:color w:val="111111"/>
        </w:rPr>
        <w:t>Quelle est sa durée probable et quelles substitutions existent ?</w:t>
      </w:r>
    </w:p>
    <w:p w14:paraId="24C8F6B8" w14:textId="77777777" w:rsidR="005A169D" w:rsidRDefault="00000000">
      <w:pPr>
        <w:numPr>
          <w:ilvl w:val="0"/>
          <w:numId w:val="1"/>
        </w:numPr>
        <w:spacing w:after="80" w:line="300" w:lineRule="auto"/>
      </w:pPr>
      <w:r>
        <w:rPr>
          <w:rFonts w:eastAsia="Calibri"/>
          <w:color w:val="111111"/>
        </w:rPr>
        <w:t>Quels autres actifs confirment ou contredisent le scénario ?</w:t>
      </w:r>
    </w:p>
    <w:p w14:paraId="4CADAB97" w14:textId="77777777" w:rsidR="005A169D" w:rsidRDefault="00000000">
      <w:pPr>
        <w:numPr>
          <w:ilvl w:val="0"/>
          <w:numId w:val="1"/>
        </w:numPr>
        <w:spacing w:after="80" w:line="300" w:lineRule="auto"/>
      </w:pPr>
      <w:r>
        <w:rPr>
          <w:rFonts w:eastAsia="Calibri"/>
          <w:color w:val="111111"/>
        </w:rPr>
        <w:t>Quel fait ou niveau invalidera l'analyse, et quelle perte reste acceptable ?</w:t>
      </w:r>
    </w:p>
    <w:p w14:paraId="3D9C99EB" w14:textId="77777777" w:rsidR="005A169D" w:rsidRDefault="00000000">
      <w:pPr>
        <w:pStyle w:val="Titre2"/>
      </w:pPr>
      <w:r>
        <w:t>11.2 Construire trois scénarios</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350"/>
        <w:gridCol w:w="2750"/>
        <w:gridCol w:w="2820"/>
        <w:gridCol w:w="2440"/>
      </w:tblGrid>
      <w:tr w:rsidR="005A169D" w14:paraId="6A63BFA9" w14:textId="77777777">
        <w:trPr>
          <w:cantSplit/>
          <w:tblHeader/>
        </w:trPr>
        <w:tc>
          <w:tcPr>
            <w:tcW w:w="1350" w:type="dxa"/>
            <w:shd w:val="clear" w:color="auto" w:fill="F4F6F9"/>
            <w:tcMar>
              <w:top w:w="80" w:type="dxa"/>
              <w:left w:w="120" w:type="dxa"/>
              <w:bottom w:w="80" w:type="dxa"/>
              <w:right w:w="120" w:type="dxa"/>
            </w:tcMar>
            <w:vAlign w:val="center"/>
          </w:tcPr>
          <w:p w14:paraId="3BC9B2F3" w14:textId="77777777" w:rsidR="005A169D" w:rsidRDefault="00000000">
            <w:pPr>
              <w:keepNext/>
              <w:spacing w:after="0" w:line="283" w:lineRule="auto"/>
              <w:jc w:val="left"/>
            </w:pPr>
            <w:r>
              <w:rPr>
                <w:rFonts w:eastAsia="Calibri"/>
                <w:b/>
                <w:color w:val="0B2545"/>
                <w:sz w:val="19"/>
              </w:rPr>
              <w:t>Scénario</w:t>
            </w:r>
          </w:p>
        </w:tc>
        <w:tc>
          <w:tcPr>
            <w:tcW w:w="2750" w:type="dxa"/>
            <w:shd w:val="clear" w:color="auto" w:fill="F4F6F9"/>
            <w:tcMar>
              <w:top w:w="80" w:type="dxa"/>
              <w:left w:w="120" w:type="dxa"/>
              <w:bottom w:w="80" w:type="dxa"/>
              <w:right w:w="120" w:type="dxa"/>
            </w:tcMar>
            <w:vAlign w:val="center"/>
          </w:tcPr>
          <w:p w14:paraId="43E2E14E" w14:textId="77777777" w:rsidR="005A169D" w:rsidRDefault="00000000">
            <w:pPr>
              <w:keepNext/>
              <w:spacing w:after="0" w:line="283" w:lineRule="auto"/>
              <w:jc w:val="left"/>
            </w:pPr>
            <w:r>
              <w:rPr>
                <w:rFonts w:eastAsia="Calibri"/>
                <w:b/>
                <w:color w:val="0B2545"/>
                <w:sz w:val="19"/>
              </w:rPr>
              <w:t>Description</w:t>
            </w:r>
          </w:p>
        </w:tc>
        <w:tc>
          <w:tcPr>
            <w:tcW w:w="2820" w:type="dxa"/>
            <w:shd w:val="clear" w:color="auto" w:fill="F4F6F9"/>
            <w:tcMar>
              <w:top w:w="80" w:type="dxa"/>
              <w:left w:w="120" w:type="dxa"/>
              <w:bottom w:w="80" w:type="dxa"/>
              <w:right w:w="120" w:type="dxa"/>
            </w:tcMar>
            <w:vAlign w:val="center"/>
          </w:tcPr>
          <w:p w14:paraId="71EA3CAF" w14:textId="77777777" w:rsidR="005A169D" w:rsidRDefault="00000000">
            <w:pPr>
              <w:keepNext/>
              <w:spacing w:after="0" w:line="283" w:lineRule="auto"/>
              <w:jc w:val="left"/>
            </w:pPr>
            <w:r>
              <w:rPr>
                <w:rFonts w:eastAsia="Calibri"/>
                <w:b/>
                <w:color w:val="0B2545"/>
                <w:sz w:val="19"/>
              </w:rPr>
              <w:t>Ce qui le confirme</w:t>
            </w:r>
          </w:p>
        </w:tc>
        <w:tc>
          <w:tcPr>
            <w:tcW w:w="2440" w:type="dxa"/>
            <w:shd w:val="clear" w:color="auto" w:fill="F4F6F9"/>
            <w:tcMar>
              <w:top w:w="80" w:type="dxa"/>
              <w:left w:w="120" w:type="dxa"/>
              <w:bottom w:w="80" w:type="dxa"/>
              <w:right w:w="120" w:type="dxa"/>
            </w:tcMar>
            <w:vAlign w:val="center"/>
          </w:tcPr>
          <w:p w14:paraId="4226ED20" w14:textId="77777777" w:rsidR="005A169D" w:rsidRDefault="00000000">
            <w:pPr>
              <w:keepNext/>
              <w:spacing w:after="0" w:line="283" w:lineRule="auto"/>
              <w:jc w:val="left"/>
            </w:pPr>
            <w:r>
              <w:rPr>
                <w:rFonts w:eastAsia="Calibri"/>
                <w:b/>
                <w:color w:val="0B2545"/>
                <w:sz w:val="19"/>
              </w:rPr>
              <w:t>Réaction possible</w:t>
            </w:r>
          </w:p>
        </w:tc>
      </w:tr>
      <w:tr w:rsidR="005A169D" w14:paraId="4DD8DBAD" w14:textId="77777777">
        <w:trPr>
          <w:cantSplit/>
        </w:trPr>
        <w:tc>
          <w:tcPr>
            <w:tcW w:w="1350" w:type="dxa"/>
            <w:tcMar>
              <w:top w:w="80" w:type="dxa"/>
              <w:left w:w="120" w:type="dxa"/>
              <w:bottom w:w="80" w:type="dxa"/>
              <w:right w:w="120" w:type="dxa"/>
            </w:tcMar>
            <w:vAlign w:val="center"/>
          </w:tcPr>
          <w:p w14:paraId="0FBCAAD6" w14:textId="77777777" w:rsidR="005A169D" w:rsidRDefault="00000000">
            <w:pPr>
              <w:keepNext/>
              <w:spacing w:after="0" w:line="283" w:lineRule="auto"/>
              <w:jc w:val="left"/>
            </w:pPr>
            <w:r>
              <w:rPr>
                <w:rFonts w:eastAsia="Calibri"/>
                <w:sz w:val="19"/>
              </w:rPr>
              <w:t>Limité</w:t>
            </w:r>
          </w:p>
        </w:tc>
        <w:tc>
          <w:tcPr>
            <w:tcW w:w="2750" w:type="dxa"/>
            <w:tcMar>
              <w:top w:w="80" w:type="dxa"/>
              <w:left w:w="120" w:type="dxa"/>
              <w:bottom w:w="80" w:type="dxa"/>
              <w:right w:w="120" w:type="dxa"/>
            </w:tcMar>
            <w:vAlign w:val="center"/>
          </w:tcPr>
          <w:p w14:paraId="53F2918F" w14:textId="77777777" w:rsidR="005A169D" w:rsidRDefault="00000000">
            <w:pPr>
              <w:keepNext/>
              <w:spacing w:after="0" w:line="283" w:lineRule="auto"/>
              <w:jc w:val="left"/>
            </w:pPr>
            <w:r>
              <w:rPr>
                <w:rFonts w:eastAsia="Calibri"/>
                <w:sz w:val="19"/>
              </w:rPr>
              <w:t>Tension sans interruption durable.</w:t>
            </w:r>
          </w:p>
        </w:tc>
        <w:tc>
          <w:tcPr>
            <w:tcW w:w="2820" w:type="dxa"/>
            <w:tcMar>
              <w:top w:w="80" w:type="dxa"/>
              <w:left w:w="120" w:type="dxa"/>
              <w:bottom w:w="80" w:type="dxa"/>
              <w:right w:w="120" w:type="dxa"/>
            </w:tcMar>
            <w:vAlign w:val="center"/>
          </w:tcPr>
          <w:p w14:paraId="1BC6EF2C" w14:textId="77777777" w:rsidR="005A169D" w:rsidRDefault="00000000">
            <w:pPr>
              <w:keepNext/>
              <w:spacing w:after="0" w:line="283" w:lineRule="auto"/>
              <w:jc w:val="left"/>
            </w:pPr>
            <w:r>
              <w:rPr>
                <w:rFonts w:eastAsia="Calibri"/>
                <w:sz w:val="19"/>
              </w:rPr>
              <w:t>Flux maintenus, réponse rapide, négociation.</w:t>
            </w:r>
          </w:p>
        </w:tc>
        <w:tc>
          <w:tcPr>
            <w:tcW w:w="2440" w:type="dxa"/>
            <w:tcMar>
              <w:top w:w="80" w:type="dxa"/>
              <w:left w:w="120" w:type="dxa"/>
              <w:bottom w:w="80" w:type="dxa"/>
              <w:right w:w="120" w:type="dxa"/>
            </w:tcMar>
            <w:vAlign w:val="center"/>
          </w:tcPr>
          <w:p w14:paraId="39D224C1" w14:textId="77777777" w:rsidR="005A169D" w:rsidRDefault="00000000">
            <w:pPr>
              <w:keepNext/>
              <w:spacing w:after="0" w:line="283" w:lineRule="auto"/>
              <w:jc w:val="left"/>
            </w:pPr>
            <w:r>
              <w:rPr>
                <w:rFonts w:eastAsia="Calibri"/>
                <w:sz w:val="19"/>
              </w:rPr>
              <w:t>Pic de volatilité puis retour partiel.</w:t>
            </w:r>
          </w:p>
        </w:tc>
      </w:tr>
      <w:tr w:rsidR="005A169D" w14:paraId="4834EEBE" w14:textId="77777777">
        <w:trPr>
          <w:cantSplit/>
        </w:trPr>
        <w:tc>
          <w:tcPr>
            <w:tcW w:w="1350" w:type="dxa"/>
            <w:shd w:val="clear" w:color="auto" w:fill="FAFBFC"/>
            <w:tcMar>
              <w:top w:w="80" w:type="dxa"/>
              <w:left w:w="120" w:type="dxa"/>
              <w:bottom w:w="80" w:type="dxa"/>
              <w:right w:w="120" w:type="dxa"/>
            </w:tcMar>
            <w:vAlign w:val="center"/>
          </w:tcPr>
          <w:p w14:paraId="13705457" w14:textId="77777777" w:rsidR="005A169D" w:rsidRDefault="00000000">
            <w:pPr>
              <w:keepNext/>
              <w:spacing w:after="0" w:line="283" w:lineRule="auto"/>
              <w:jc w:val="left"/>
            </w:pPr>
            <w:r>
              <w:rPr>
                <w:rFonts w:eastAsia="Calibri"/>
                <w:sz w:val="19"/>
              </w:rPr>
              <w:t>Central</w:t>
            </w:r>
          </w:p>
        </w:tc>
        <w:tc>
          <w:tcPr>
            <w:tcW w:w="2750" w:type="dxa"/>
            <w:shd w:val="clear" w:color="auto" w:fill="FAFBFC"/>
            <w:tcMar>
              <w:top w:w="80" w:type="dxa"/>
              <w:left w:w="120" w:type="dxa"/>
              <w:bottom w:w="80" w:type="dxa"/>
              <w:right w:w="120" w:type="dxa"/>
            </w:tcMar>
            <w:vAlign w:val="center"/>
          </w:tcPr>
          <w:p w14:paraId="576054F0" w14:textId="77777777" w:rsidR="005A169D" w:rsidRDefault="00000000">
            <w:pPr>
              <w:keepNext/>
              <w:spacing w:after="0" w:line="283" w:lineRule="auto"/>
              <w:jc w:val="left"/>
            </w:pPr>
            <w:r>
              <w:rPr>
                <w:rFonts w:eastAsia="Calibri"/>
                <w:sz w:val="19"/>
              </w:rPr>
              <w:t>Perturbation réelle mais absorbable.</w:t>
            </w:r>
          </w:p>
        </w:tc>
        <w:tc>
          <w:tcPr>
            <w:tcW w:w="2820" w:type="dxa"/>
            <w:shd w:val="clear" w:color="auto" w:fill="FAFBFC"/>
            <w:tcMar>
              <w:top w:w="80" w:type="dxa"/>
              <w:left w:w="120" w:type="dxa"/>
              <w:bottom w:w="80" w:type="dxa"/>
              <w:right w:w="120" w:type="dxa"/>
            </w:tcMar>
            <w:vAlign w:val="center"/>
          </w:tcPr>
          <w:p w14:paraId="25A75208" w14:textId="77777777" w:rsidR="005A169D" w:rsidRDefault="00000000">
            <w:pPr>
              <w:keepNext/>
              <w:spacing w:after="0" w:line="283" w:lineRule="auto"/>
              <w:jc w:val="left"/>
            </w:pPr>
            <w:r>
              <w:rPr>
                <w:rFonts w:eastAsia="Calibri"/>
                <w:sz w:val="19"/>
              </w:rPr>
              <w:t>Coûts plus élevés, substitution partielle.</w:t>
            </w:r>
          </w:p>
        </w:tc>
        <w:tc>
          <w:tcPr>
            <w:tcW w:w="2440" w:type="dxa"/>
            <w:shd w:val="clear" w:color="auto" w:fill="FAFBFC"/>
            <w:tcMar>
              <w:top w:w="80" w:type="dxa"/>
              <w:left w:w="120" w:type="dxa"/>
              <w:bottom w:w="80" w:type="dxa"/>
              <w:right w:w="120" w:type="dxa"/>
            </w:tcMar>
            <w:vAlign w:val="center"/>
          </w:tcPr>
          <w:p w14:paraId="1F02C464" w14:textId="77777777" w:rsidR="005A169D" w:rsidRDefault="00000000">
            <w:pPr>
              <w:keepNext/>
              <w:spacing w:after="0" w:line="283" w:lineRule="auto"/>
              <w:jc w:val="left"/>
            </w:pPr>
            <w:r>
              <w:rPr>
                <w:rFonts w:eastAsia="Calibri"/>
                <w:sz w:val="19"/>
              </w:rPr>
              <w:t>Repricing sectoriel et macro modéré.</w:t>
            </w:r>
          </w:p>
        </w:tc>
      </w:tr>
      <w:tr w:rsidR="005A169D" w14:paraId="7BFA0ACB" w14:textId="77777777">
        <w:trPr>
          <w:cantSplit/>
        </w:trPr>
        <w:tc>
          <w:tcPr>
            <w:tcW w:w="1350" w:type="dxa"/>
            <w:tcMar>
              <w:top w:w="80" w:type="dxa"/>
              <w:left w:w="120" w:type="dxa"/>
              <w:bottom w:w="80" w:type="dxa"/>
              <w:right w:w="120" w:type="dxa"/>
            </w:tcMar>
            <w:vAlign w:val="center"/>
          </w:tcPr>
          <w:p w14:paraId="31B7D4A1" w14:textId="77777777" w:rsidR="005A169D" w:rsidRDefault="00000000">
            <w:pPr>
              <w:spacing w:after="0" w:line="283" w:lineRule="auto"/>
              <w:jc w:val="left"/>
            </w:pPr>
            <w:r>
              <w:rPr>
                <w:rFonts w:eastAsia="Calibri"/>
                <w:sz w:val="19"/>
              </w:rPr>
              <w:t>Sévère</w:t>
            </w:r>
          </w:p>
        </w:tc>
        <w:tc>
          <w:tcPr>
            <w:tcW w:w="2750" w:type="dxa"/>
            <w:tcMar>
              <w:top w:w="80" w:type="dxa"/>
              <w:left w:w="120" w:type="dxa"/>
              <w:bottom w:w="80" w:type="dxa"/>
              <w:right w:w="120" w:type="dxa"/>
            </w:tcMar>
            <w:vAlign w:val="center"/>
          </w:tcPr>
          <w:p w14:paraId="7464E3A6" w14:textId="77777777" w:rsidR="005A169D" w:rsidRDefault="00000000">
            <w:pPr>
              <w:spacing w:after="0" w:line="283" w:lineRule="auto"/>
              <w:jc w:val="left"/>
            </w:pPr>
            <w:r>
              <w:rPr>
                <w:rFonts w:eastAsia="Calibri"/>
                <w:sz w:val="19"/>
              </w:rPr>
              <w:t>Blocage prolongé ou contagion.</w:t>
            </w:r>
          </w:p>
        </w:tc>
        <w:tc>
          <w:tcPr>
            <w:tcW w:w="2820" w:type="dxa"/>
            <w:tcMar>
              <w:top w:w="80" w:type="dxa"/>
              <w:left w:w="120" w:type="dxa"/>
              <w:bottom w:w="80" w:type="dxa"/>
              <w:right w:w="120" w:type="dxa"/>
            </w:tcMar>
            <w:vAlign w:val="center"/>
          </w:tcPr>
          <w:p w14:paraId="5D7E5C3A" w14:textId="77777777" w:rsidR="005A169D" w:rsidRDefault="00000000">
            <w:pPr>
              <w:spacing w:after="0" w:line="283" w:lineRule="auto"/>
              <w:jc w:val="left"/>
            </w:pPr>
            <w:r>
              <w:rPr>
                <w:rFonts w:eastAsia="Calibri"/>
                <w:sz w:val="19"/>
              </w:rPr>
              <w:t>Stocks en baisse, routes fermées, sanctions élargies.</w:t>
            </w:r>
          </w:p>
        </w:tc>
        <w:tc>
          <w:tcPr>
            <w:tcW w:w="2440" w:type="dxa"/>
            <w:tcMar>
              <w:top w:w="80" w:type="dxa"/>
              <w:left w:w="120" w:type="dxa"/>
              <w:bottom w:w="80" w:type="dxa"/>
              <w:right w:w="120" w:type="dxa"/>
            </w:tcMar>
            <w:vAlign w:val="center"/>
          </w:tcPr>
          <w:p w14:paraId="53A4FFE6" w14:textId="77777777" w:rsidR="005A169D" w:rsidRDefault="00000000">
            <w:pPr>
              <w:spacing w:after="0" w:line="283" w:lineRule="auto"/>
              <w:jc w:val="left"/>
            </w:pPr>
            <w:r>
              <w:rPr>
                <w:rFonts w:eastAsia="Calibri"/>
                <w:sz w:val="19"/>
              </w:rPr>
              <w:t>Inflation, croissance faible, primes de risque élevées.</w:t>
            </w:r>
          </w:p>
        </w:tc>
      </w:tr>
    </w:tbl>
    <w:p w14:paraId="427D11B2" w14:textId="77777777" w:rsidR="005A169D" w:rsidRDefault="005A169D">
      <w:pPr>
        <w:spacing w:after="100"/>
      </w:pPr>
    </w:p>
    <w:p w14:paraId="531CAE8F" w14:textId="77777777" w:rsidR="005A169D" w:rsidRDefault="00000000">
      <w:pPr>
        <w:keepLines/>
        <w:pBdr>
          <w:left w:val="single" w:sz="18" w:space="8" w:color="207A4B"/>
        </w:pBdr>
        <w:shd w:val="clear" w:color="auto" w:fill="EAF6EF"/>
        <w:spacing w:before="100" w:after="200" w:line="288" w:lineRule="auto"/>
        <w:ind w:left="173" w:right="115"/>
      </w:pPr>
      <w:r>
        <w:rPr>
          <w:rFonts w:eastAsia="Calibri"/>
          <w:b/>
          <w:color w:val="207A4B"/>
          <w:sz w:val="20"/>
        </w:rPr>
        <w:t xml:space="preserve">POURQUOI TROIS SCÉNARIOS ?  </w:t>
      </w:r>
      <w:r>
        <w:rPr>
          <w:rFonts w:eastAsia="Calibri"/>
          <w:sz w:val="21"/>
        </w:rPr>
        <w:t>Parce qu'une prévision unique pousse à défendre son opinion. Trois scénarios obligent à préciser les preuves et permettent de changer d'avis sans improviser.</w:t>
      </w:r>
    </w:p>
    <w:p w14:paraId="0E617613" w14:textId="77777777" w:rsidR="005A169D" w:rsidRDefault="00000000">
      <w:pPr>
        <w:pStyle w:val="Titre2"/>
      </w:pPr>
      <w:r>
        <w:t>11.3 La hiérarchie des sources</w:t>
      </w:r>
    </w:p>
    <w:p w14:paraId="4BFB6D60" w14:textId="77777777" w:rsidR="005A169D" w:rsidRDefault="00000000">
      <w:pPr>
        <w:numPr>
          <w:ilvl w:val="0"/>
          <w:numId w:val="1"/>
        </w:numPr>
        <w:spacing w:after="80" w:line="300" w:lineRule="auto"/>
      </w:pPr>
      <w:r>
        <w:rPr>
          <w:rFonts w:eastAsia="Calibri"/>
          <w:color w:val="111111"/>
        </w:rPr>
        <w:t>Texte officiel, communiqué d'autorité, données d'agence ou document juridique.</w:t>
      </w:r>
    </w:p>
    <w:p w14:paraId="079FD7BE" w14:textId="77777777" w:rsidR="005A169D" w:rsidRDefault="00000000">
      <w:pPr>
        <w:numPr>
          <w:ilvl w:val="0"/>
          <w:numId w:val="1"/>
        </w:numPr>
        <w:spacing w:after="80" w:line="300" w:lineRule="auto"/>
      </w:pPr>
      <w:r>
        <w:rPr>
          <w:rFonts w:eastAsia="Calibri"/>
          <w:color w:val="111111"/>
        </w:rPr>
        <w:t>Agence de presse reconnue citant des responsables identifiables.</w:t>
      </w:r>
    </w:p>
    <w:p w14:paraId="1A243BAA" w14:textId="77777777" w:rsidR="005A169D" w:rsidRDefault="00000000">
      <w:pPr>
        <w:numPr>
          <w:ilvl w:val="0"/>
          <w:numId w:val="1"/>
        </w:numPr>
        <w:spacing w:after="80" w:line="300" w:lineRule="auto"/>
      </w:pPr>
      <w:r>
        <w:rPr>
          <w:rFonts w:eastAsia="Calibri"/>
          <w:color w:val="111111"/>
        </w:rPr>
        <w:t>Média spécialisé qui distingue clairement faits et analyse.</w:t>
      </w:r>
    </w:p>
    <w:p w14:paraId="7B119F9A" w14:textId="77777777" w:rsidR="005A169D" w:rsidRDefault="00000000">
      <w:pPr>
        <w:numPr>
          <w:ilvl w:val="0"/>
          <w:numId w:val="1"/>
        </w:numPr>
        <w:spacing w:after="80" w:line="300" w:lineRule="auto"/>
      </w:pPr>
      <w:r>
        <w:rPr>
          <w:rFonts w:eastAsia="Calibri"/>
          <w:color w:val="111111"/>
        </w:rPr>
        <w:t>Réseaux sociaux et images non vérifiées : seulement comme alerte, jamais comme preuve suffisante.</w:t>
      </w:r>
    </w:p>
    <w:p w14:paraId="6E24D5A6" w14:textId="77777777" w:rsidR="005A169D" w:rsidRDefault="00000000">
      <w:r>
        <w:rPr>
          <w:rFonts w:eastAsia="Calibri"/>
        </w:rPr>
        <w:t>Les sources officielles peuvent être incomplètes ou orientées, mais elles fixent ce qui a réellement été décidé. Il faut ensuite comparer l'exécution observée : navires détournés, volumes exportés, licences accordées, paiements bloqués ou production restaurée.</w:t>
      </w:r>
    </w:p>
    <w:p w14:paraId="16252124" w14:textId="77777777" w:rsidR="005A169D" w:rsidRDefault="00000000">
      <w:pPr>
        <w:pStyle w:val="Titre2"/>
      </w:pPr>
      <w:r>
        <w:t>11.4 Lire TradingView après l'analyse géopolitique</w:t>
      </w:r>
    </w:p>
    <w:p w14:paraId="297521D8" w14:textId="77777777" w:rsidR="005A169D" w:rsidRDefault="00000000">
      <w:pPr>
        <w:numPr>
          <w:ilvl w:val="0"/>
          <w:numId w:val="1"/>
        </w:numPr>
        <w:spacing w:after="80" w:line="300" w:lineRule="auto"/>
      </w:pPr>
      <w:r>
        <w:rPr>
          <w:rFonts w:eastAsia="Calibri"/>
          <w:color w:val="111111"/>
        </w:rPr>
        <w:t>Commencer par l'unité de temps large pour voir la tendance antérieure.</w:t>
      </w:r>
    </w:p>
    <w:p w14:paraId="0DA0250D" w14:textId="77777777" w:rsidR="005A169D" w:rsidRDefault="00000000">
      <w:pPr>
        <w:numPr>
          <w:ilvl w:val="0"/>
          <w:numId w:val="1"/>
        </w:numPr>
        <w:spacing w:after="80" w:line="300" w:lineRule="auto"/>
      </w:pPr>
      <w:r>
        <w:rPr>
          <w:rFonts w:eastAsia="Calibri"/>
          <w:color w:val="111111"/>
        </w:rPr>
        <w:t>Placer la date de l'événement sans supposer que tout part de cette date.</w:t>
      </w:r>
    </w:p>
    <w:p w14:paraId="53BA256F" w14:textId="77777777" w:rsidR="005A169D" w:rsidRDefault="00000000">
      <w:pPr>
        <w:numPr>
          <w:ilvl w:val="0"/>
          <w:numId w:val="1"/>
        </w:numPr>
        <w:spacing w:after="80" w:line="300" w:lineRule="auto"/>
      </w:pPr>
      <w:r>
        <w:rPr>
          <w:rFonts w:eastAsia="Calibri"/>
          <w:color w:val="111111"/>
        </w:rPr>
        <w:t>Observer gap, amplitude, clôture, volume et poursuite les jours suivants.</w:t>
      </w:r>
    </w:p>
    <w:p w14:paraId="273AF8A1" w14:textId="77777777" w:rsidR="005A169D" w:rsidRDefault="00000000">
      <w:pPr>
        <w:numPr>
          <w:ilvl w:val="0"/>
          <w:numId w:val="1"/>
        </w:numPr>
        <w:spacing w:after="80" w:line="300" w:lineRule="auto"/>
      </w:pPr>
      <w:r>
        <w:rPr>
          <w:rFonts w:eastAsia="Calibri"/>
          <w:color w:val="111111"/>
        </w:rPr>
        <w:t>Comparer l'actif direct avec un second actif : pétrole et devise importatrice, par exemple.</w:t>
      </w:r>
    </w:p>
    <w:p w14:paraId="1C610225" w14:textId="77777777" w:rsidR="005A169D" w:rsidRDefault="00000000">
      <w:pPr>
        <w:numPr>
          <w:ilvl w:val="0"/>
          <w:numId w:val="1"/>
        </w:numPr>
        <w:spacing w:after="80" w:line="300" w:lineRule="auto"/>
      </w:pPr>
      <w:r>
        <w:rPr>
          <w:rFonts w:eastAsia="Calibri"/>
          <w:color w:val="111111"/>
        </w:rPr>
        <w:t>Utiliser RSI ou MACD seulement pour décrire le momentum, pas pour prouver la cause géopolitique.</w:t>
      </w:r>
    </w:p>
    <w:p w14:paraId="509C0E1F" w14:textId="77777777" w:rsidR="005A169D" w:rsidRDefault="00000000">
      <w:pPr>
        <w:numPr>
          <w:ilvl w:val="0"/>
          <w:numId w:val="1"/>
        </w:numPr>
        <w:spacing w:after="80" w:line="300" w:lineRule="auto"/>
      </w:pPr>
      <w:r>
        <w:rPr>
          <w:rFonts w:eastAsia="Calibri"/>
          <w:color w:val="111111"/>
        </w:rPr>
        <w:t>Définir le niveau ou le fait qui invalide le scénario avant l'entrée.</w:t>
      </w:r>
    </w:p>
    <w:p w14:paraId="0DD69C72"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LIEN AVEC LES BOUGIES  </w:t>
      </w:r>
      <w:r>
        <w:rPr>
          <w:rFonts w:eastAsia="Calibri"/>
          <w:sz w:val="21"/>
        </w:rPr>
        <w:t>Une grande bougie raconte une urgence de repricing. La clôture indique où le marché accepte finalement le prix. Les séances suivantes disent si le choc devient une tendance ou s'il est absorbé.</w:t>
      </w:r>
    </w:p>
    <w:p w14:paraId="7D3C8B71" w14:textId="77777777" w:rsidR="005A169D" w:rsidRDefault="00000000">
      <w:pPr>
        <w:pStyle w:val="Titre2"/>
      </w:pPr>
      <w:r>
        <w:t>11.5 Exemple guidé : menace sur un détroit pétrolier</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200"/>
        <w:gridCol w:w="3400"/>
        <w:gridCol w:w="4760"/>
      </w:tblGrid>
      <w:tr w:rsidR="005A169D" w14:paraId="599B1CCC" w14:textId="77777777">
        <w:trPr>
          <w:cantSplit/>
          <w:tblHeader/>
        </w:trPr>
        <w:tc>
          <w:tcPr>
            <w:tcW w:w="1200" w:type="dxa"/>
            <w:shd w:val="clear" w:color="auto" w:fill="F4F6F9"/>
            <w:tcMar>
              <w:top w:w="80" w:type="dxa"/>
              <w:left w:w="120" w:type="dxa"/>
              <w:bottom w:w="80" w:type="dxa"/>
              <w:right w:w="120" w:type="dxa"/>
            </w:tcMar>
            <w:vAlign w:val="center"/>
          </w:tcPr>
          <w:p w14:paraId="16BE5993" w14:textId="77777777" w:rsidR="005A169D" w:rsidRDefault="00000000">
            <w:pPr>
              <w:keepNext/>
              <w:spacing w:after="0" w:line="283" w:lineRule="auto"/>
              <w:jc w:val="left"/>
            </w:pPr>
            <w:r>
              <w:rPr>
                <w:rFonts w:eastAsia="Calibri"/>
                <w:b/>
                <w:color w:val="0B2545"/>
                <w:sz w:val="19"/>
              </w:rPr>
              <w:t>Étape</w:t>
            </w:r>
          </w:p>
        </w:tc>
        <w:tc>
          <w:tcPr>
            <w:tcW w:w="3400" w:type="dxa"/>
            <w:shd w:val="clear" w:color="auto" w:fill="F4F6F9"/>
            <w:tcMar>
              <w:top w:w="80" w:type="dxa"/>
              <w:left w:w="120" w:type="dxa"/>
              <w:bottom w:w="80" w:type="dxa"/>
              <w:right w:w="120" w:type="dxa"/>
            </w:tcMar>
            <w:vAlign w:val="center"/>
          </w:tcPr>
          <w:p w14:paraId="1F7F290E" w14:textId="77777777" w:rsidR="005A169D" w:rsidRDefault="00000000">
            <w:pPr>
              <w:keepNext/>
              <w:spacing w:after="0" w:line="283" w:lineRule="auto"/>
              <w:jc w:val="left"/>
            </w:pPr>
            <w:r>
              <w:rPr>
                <w:rFonts w:eastAsia="Calibri"/>
                <w:b/>
                <w:color w:val="0B2545"/>
                <w:sz w:val="19"/>
              </w:rPr>
              <w:t>Question</w:t>
            </w:r>
          </w:p>
        </w:tc>
        <w:tc>
          <w:tcPr>
            <w:tcW w:w="4760" w:type="dxa"/>
            <w:shd w:val="clear" w:color="auto" w:fill="F4F6F9"/>
            <w:tcMar>
              <w:top w:w="80" w:type="dxa"/>
              <w:left w:w="120" w:type="dxa"/>
              <w:bottom w:w="80" w:type="dxa"/>
              <w:right w:w="120" w:type="dxa"/>
            </w:tcMar>
            <w:vAlign w:val="center"/>
          </w:tcPr>
          <w:p w14:paraId="6C56D0F4" w14:textId="77777777" w:rsidR="005A169D" w:rsidRDefault="00000000">
            <w:pPr>
              <w:keepNext/>
              <w:spacing w:after="0" w:line="283" w:lineRule="auto"/>
              <w:jc w:val="left"/>
            </w:pPr>
            <w:r>
              <w:rPr>
                <w:rFonts w:eastAsia="Calibri"/>
                <w:b/>
                <w:color w:val="0B2545"/>
                <w:sz w:val="19"/>
              </w:rPr>
              <w:t>Lecture possible</w:t>
            </w:r>
          </w:p>
        </w:tc>
      </w:tr>
      <w:tr w:rsidR="005A169D" w14:paraId="168FE952" w14:textId="77777777">
        <w:trPr>
          <w:cantSplit/>
        </w:trPr>
        <w:tc>
          <w:tcPr>
            <w:tcW w:w="1200" w:type="dxa"/>
            <w:tcMar>
              <w:top w:w="80" w:type="dxa"/>
              <w:left w:w="120" w:type="dxa"/>
              <w:bottom w:w="80" w:type="dxa"/>
              <w:right w:w="120" w:type="dxa"/>
            </w:tcMar>
            <w:vAlign w:val="center"/>
          </w:tcPr>
          <w:p w14:paraId="2EAC9733" w14:textId="77777777" w:rsidR="005A169D" w:rsidRDefault="00000000">
            <w:pPr>
              <w:keepNext/>
              <w:spacing w:after="0" w:line="283" w:lineRule="auto"/>
              <w:jc w:val="left"/>
            </w:pPr>
            <w:r>
              <w:rPr>
                <w:rFonts w:eastAsia="Calibri"/>
                <w:sz w:val="19"/>
              </w:rPr>
              <w:t>Fait</w:t>
            </w:r>
          </w:p>
        </w:tc>
        <w:tc>
          <w:tcPr>
            <w:tcW w:w="3400" w:type="dxa"/>
            <w:tcMar>
              <w:top w:w="80" w:type="dxa"/>
              <w:left w:w="120" w:type="dxa"/>
              <w:bottom w:w="80" w:type="dxa"/>
              <w:right w:w="120" w:type="dxa"/>
            </w:tcMar>
            <w:vAlign w:val="center"/>
          </w:tcPr>
          <w:p w14:paraId="2E31583E" w14:textId="77777777" w:rsidR="005A169D" w:rsidRDefault="00000000">
            <w:pPr>
              <w:keepNext/>
              <w:spacing w:after="0" w:line="283" w:lineRule="auto"/>
              <w:jc w:val="left"/>
            </w:pPr>
            <w:r>
              <w:rPr>
                <w:rFonts w:eastAsia="Calibri"/>
                <w:sz w:val="19"/>
              </w:rPr>
              <w:t>Les flux sont-ils réellement interrompus ?</w:t>
            </w:r>
          </w:p>
        </w:tc>
        <w:tc>
          <w:tcPr>
            <w:tcW w:w="4760" w:type="dxa"/>
            <w:tcMar>
              <w:top w:w="80" w:type="dxa"/>
              <w:left w:w="120" w:type="dxa"/>
              <w:bottom w:w="80" w:type="dxa"/>
              <w:right w:w="120" w:type="dxa"/>
            </w:tcMar>
            <w:vAlign w:val="center"/>
          </w:tcPr>
          <w:p w14:paraId="36131EC3" w14:textId="77777777" w:rsidR="005A169D" w:rsidRDefault="00000000">
            <w:pPr>
              <w:keepNext/>
              <w:spacing w:after="0" w:line="283" w:lineRule="auto"/>
              <w:jc w:val="left"/>
            </w:pPr>
            <w:r>
              <w:rPr>
                <w:rFonts w:eastAsia="Calibri"/>
                <w:sz w:val="19"/>
              </w:rPr>
              <w:t>Une menace seule vaut moins qu'une baisse mesurée des passages.</w:t>
            </w:r>
          </w:p>
        </w:tc>
      </w:tr>
      <w:tr w:rsidR="005A169D" w14:paraId="66DFE02E" w14:textId="77777777">
        <w:trPr>
          <w:cantSplit/>
        </w:trPr>
        <w:tc>
          <w:tcPr>
            <w:tcW w:w="1200" w:type="dxa"/>
            <w:shd w:val="clear" w:color="auto" w:fill="FAFBFC"/>
            <w:tcMar>
              <w:top w:w="80" w:type="dxa"/>
              <w:left w:w="120" w:type="dxa"/>
              <w:bottom w:w="80" w:type="dxa"/>
              <w:right w:w="120" w:type="dxa"/>
            </w:tcMar>
            <w:vAlign w:val="center"/>
          </w:tcPr>
          <w:p w14:paraId="29F6B765" w14:textId="77777777" w:rsidR="005A169D" w:rsidRDefault="00000000">
            <w:pPr>
              <w:keepNext/>
              <w:spacing w:after="0" w:line="283" w:lineRule="auto"/>
              <w:jc w:val="left"/>
            </w:pPr>
            <w:r>
              <w:rPr>
                <w:rFonts w:eastAsia="Calibri"/>
                <w:sz w:val="19"/>
              </w:rPr>
              <w:t>Taille</w:t>
            </w:r>
          </w:p>
        </w:tc>
        <w:tc>
          <w:tcPr>
            <w:tcW w:w="3400" w:type="dxa"/>
            <w:shd w:val="clear" w:color="auto" w:fill="FAFBFC"/>
            <w:tcMar>
              <w:top w:w="80" w:type="dxa"/>
              <w:left w:w="120" w:type="dxa"/>
              <w:bottom w:w="80" w:type="dxa"/>
              <w:right w:w="120" w:type="dxa"/>
            </w:tcMar>
            <w:vAlign w:val="center"/>
          </w:tcPr>
          <w:p w14:paraId="78E677E7" w14:textId="77777777" w:rsidR="005A169D" w:rsidRDefault="00000000">
            <w:pPr>
              <w:keepNext/>
              <w:spacing w:after="0" w:line="283" w:lineRule="auto"/>
              <w:jc w:val="left"/>
            </w:pPr>
            <w:r>
              <w:rPr>
                <w:rFonts w:eastAsia="Calibri"/>
                <w:sz w:val="19"/>
              </w:rPr>
              <w:t>Quel volume est concerné ?</w:t>
            </w:r>
          </w:p>
        </w:tc>
        <w:tc>
          <w:tcPr>
            <w:tcW w:w="4760" w:type="dxa"/>
            <w:shd w:val="clear" w:color="auto" w:fill="FAFBFC"/>
            <w:tcMar>
              <w:top w:w="80" w:type="dxa"/>
              <w:left w:w="120" w:type="dxa"/>
              <w:bottom w:w="80" w:type="dxa"/>
              <w:right w:w="120" w:type="dxa"/>
            </w:tcMar>
            <w:vAlign w:val="center"/>
          </w:tcPr>
          <w:p w14:paraId="3C92CD6F" w14:textId="77777777" w:rsidR="005A169D" w:rsidRDefault="00000000">
            <w:pPr>
              <w:keepNext/>
              <w:spacing w:after="0" w:line="283" w:lineRule="auto"/>
              <w:jc w:val="left"/>
            </w:pPr>
            <w:r>
              <w:rPr>
                <w:rFonts w:eastAsia="Calibri"/>
                <w:sz w:val="19"/>
              </w:rPr>
              <w:t>Comparer au marché mondial, aux stocks et à la capacité inutilisée.</w:t>
            </w:r>
          </w:p>
        </w:tc>
      </w:tr>
      <w:tr w:rsidR="005A169D" w14:paraId="2323CCAC" w14:textId="77777777">
        <w:trPr>
          <w:cantSplit/>
        </w:trPr>
        <w:tc>
          <w:tcPr>
            <w:tcW w:w="1200" w:type="dxa"/>
            <w:tcMar>
              <w:top w:w="80" w:type="dxa"/>
              <w:left w:w="120" w:type="dxa"/>
              <w:bottom w:w="80" w:type="dxa"/>
              <w:right w:w="120" w:type="dxa"/>
            </w:tcMar>
            <w:vAlign w:val="center"/>
          </w:tcPr>
          <w:p w14:paraId="35A84224" w14:textId="77777777" w:rsidR="005A169D" w:rsidRDefault="00000000">
            <w:pPr>
              <w:keepNext/>
              <w:spacing w:after="0" w:line="283" w:lineRule="auto"/>
              <w:jc w:val="left"/>
            </w:pPr>
            <w:r>
              <w:rPr>
                <w:rFonts w:eastAsia="Calibri"/>
                <w:sz w:val="19"/>
              </w:rPr>
              <w:t>Durée</w:t>
            </w:r>
          </w:p>
        </w:tc>
        <w:tc>
          <w:tcPr>
            <w:tcW w:w="3400" w:type="dxa"/>
            <w:tcMar>
              <w:top w:w="80" w:type="dxa"/>
              <w:left w:w="120" w:type="dxa"/>
              <w:bottom w:w="80" w:type="dxa"/>
              <w:right w:w="120" w:type="dxa"/>
            </w:tcMar>
            <w:vAlign w:val="center"/>
          </w:tcPr>
          <w:p w14:paraId="12FE3B78" w14:textId="77777777" w:rsidR="005A169D" w:rsidRDefault="00000000">
            <w:pPr>
              <w:keepNext/>
              <w:spacing w:after="0" w:line="283" w:lineRule="auto"/>
              <w:jc w:val="left"/>
            </w:pPr>
            <w:r>
              <w:rPr>
                <w:rFonts w:eastAsia="Calibri"/>
                <w:sz w:val="19"/>
              </w:rPr>
              <w:t>Combien de jours ?</w:t>
            </w:r>
          </w:p>
        </w:tc>
        <w:tc>
          <w:tcPr>
            <w:tcW w:w="4760" w:type="dxa"/>
            <w:tcMar>
              <w:top w:w="80" w:type="dxa"/>
              <w:left w:w="120" w:type="dxa"/>
              <w:bottom w:w="80" w:type="dxa"/>
              <w:right w:w="120" w:type="dxa"/>
            </w:tcMar>
            <w:vAlign w:val="center"/>
          </w:tcPr>
          <w:p w14:paraId="3E3C1CA5" w14:textId="77777777" w:rsidR="005A169D" w:rsidRDefault="00000000">
            <w:pPr>
              <w:keepNext/>
              <w:spacing w:after="0" w:line="283" w:lineRule="auto"/>
              <w:jc w:val="left"/>
            </w:pPr>
            <w:r>
              <w:rPr>
                <w:rFonts w:eastAsia="Calibri"/>
                <w:sz w:val="19"/>
              </w:rPr>
              <w:t>Une durée incertaine crée une forte prime de risque.</w:t>
            </w:r>
          </w:p>
        </w:tc>
      </w:tr>
      <w:tr w:rsidR="005A169D" w14:paraId="43BE0C72" w14:textId="77777777">
        <w:trPr>
          <w:cantSplit/>
        </w:trPr>
        <w:tc>
          <w:tcPr>
            <w:tcW w:w="1200" w:type="dxa"/>
            <w:shd w:val="clear" w:color="auto" w:fill="FAFBFC"/>
            <w:tcMar>
              <w:top w:w="80" w:type="dxa"/>
              <w:left w:w="120" w:type="dxa"/>
              <w:bottom w:w="80" w:type="dxa"/>
              <w:right w:w="120" w:type="dxa"/>
            </w:tcMar>
            <w:vAlign w:val="center"/>
          </w:tcPr>
          <w:p w14:paraId="2F6F9716" w14:textId="77777777" w:rsidR="005A169D" w:rsidRDefault="00000000">
            <w:pPr>
              <w:keepNext/>
              <w:spacing w:after="0" w:line="283" w:lineRule="auto"/>
              <w:jc w:val="left"/>
            </w:pPr>
            <w:r>
              <w:rPr>
                <w:rFonts w:eastAsia="Calibri"/>
                <w:sz w:val="19"/>
              </w:rPr>
              <w:t>Substitution</w:t>
            </w:r>
          </w:p>
        </w:tc>
        <w:tc>
          <w:tcPr>
            <w:tcW w:w="3400" w:type="dxa"/>
            <w:shd w:val="clear" w:color="auto" w:fill="FAFBFC"/>
            <w:tcMar>
              <w:top w:w="80" w:type="dxa"/>
              <w:left w:w="120" w:type="dxa"/>
              <w:bottom w:w="80" w:type="dxa"/>
              <w:right w:w="120" w:type="dxa"/>
            </w:tcMar>
            <w:vAlign w:val="center"/>
          </w:tcPr>
          <w:p w14:paraId="6703EE19" w14:textId="77777777" w:rsidR="005A169D" w:rsidRDefault="00000000">
            <w:pPr>
              <w:keepNext/>
              <w:spacing w:after="0" w:line="283" w:lineRule="auto"/>
              <w:jc w:val="left"/>
            </w:pPr>
            <w:r>
              <w:rPr>
                <w:rFonts w:eastAsia="Calibri"/>
                <w:sz w:val="19"/>
              </w:rPr>
              <w:t>Autres routes ou producteurs ?</w:t>
            </w:r>
          </w:p>
        </w:tc>
        <w:tc>
          <w:tcPr>
            <w:tcW w:w="4760" w:type="dxa"/>
            <w:shd w:val="clear" w:color="auto" w:fill="FAFBFC"/>
            <w:tcMar>
              <w:top w:w="80" w:type="dxa"/>
              <w:left w:w="120" w:type="dxa"/>
              <w:bottom w:w="80" w:type="dxa"/>
              <w:right w:w="120" w:type="dxa"/>
            </w:tcMar>
            <w:vAlign w:val="center"/>
          </w:tcPr>
          <w:p w14:paraId="1CD21D62" w14:textId="77777777" w:rsidR="005A169D" w:rsidRDefault="00000000">
            <w:pPr>
              <w:keepNext/>
              <w:spacing w:after="0" w:line="283" w:lineRule="auto"/>
              <w:jc w:val="left"/>
            </w:pPr>
            <w:r>
              <w:rPr>
                <w:rFonts w:eastAsia="Calibri"/>
                <w:sz w:val="19"/>
              </w:rPr>
              <w:t>La substitution lente soutient davantage le prix.</w:t>
            </w:r>
          </w:p>
        </w:tc>
      </w:tr>
      <w:tr w:rsidR="005A169D" w14:paraId="744C664D" w14:textId="77777777">
        <w:trPr>
          <w:cantSplit/>
        </w:trPr>
        <w:tc>
          <w:tcPr>
            <w:tcW w:w="1200" w:type="dxa"/>
            <w:tcMar>
              <w:top w:w="80" w:type="dxa"/>
              <w:left w:w="120" w:type="dxa"/>
              <w:bottom w:w="80" w:type="dxa"/>
              <w:right w:w="120" w:type="dxa"/>
            </w:tcMar>
            <w:vAlign w:val="center"/>
          </w:tcPr>
          <w:p w14:paraId="6CF05511" w14:textId="77777777" w:rsidR="005A169D" w:rsidRDefault="00000000">
            <w:pPr>
              <w:keepNext/>
              <w:spacing w:after="0" w:line="283" w:lineRule="auto"/>
              <w:jc w:val="left"/>
            </w:pPr>
            <w:r>
              <w:rPr>
                <w:rFonts w:eastAsia="Calibri"/>
                <w:sz w:val="19"/>
              </w:rPr>
              <w:t>Macro</w:t>
            </w:r>
          </w:p>
        </w:tc>
        <w:tc>
          <w:tcPr>
            <w:tcW w:w="3400" w:type="dxa"/>
            <w:tcMar>
              <w:top w:w="80" w:type="dxa"/>
              <w:left w:w="120" w:type="dxa"/>
              <w:bottom w:w="80" w:type="dxa"/>
              <w:right w:w="120" w:type="dxa"/>
            </w:tcMar>
            <w:vAlign w:val="center"/>
          </w:tcPr>
          <w:p w14:paraId="5AFC5D58" w14:textId="77777777" w:rsidR="005A169D" w:rsidRDefault="00000000">
            <w:pPr>
              <w:keepNext/>
              <w:spacing w:after="0" w:line="283" w:lineRule="auto"/>
              <w:jc w:val="left"/>
            </w:pPr>
            <w:r>
              <w:rPr>
                <w:rFonts w:eastAsia="Calibri"/>
                <w:sz w:val="19"/>
              </w:rPr>
              <w:t>Inflation ou croissance ?</w:t>
            </w:r>
          </w:p>
        </w:tc>
        <w:tc>
          <w:tcPr>
            <w:tcW w:w="4760" w:type="dxa"/>
            <w:tcMar>
              <w:top w:w="80" w:type="dxa"/>
              <w:left w:w="120" w:type="dxa"/>
              <w:bottom w:w="80" w:type="dxa"/>
              <w:right w:w="120" w:type="dxa"/>
            </w:tcMar>
            <w:vAlign w:val="center"/>
          </w:tcPr>
          <w:p w14:paraId="1E95CFAA" w14:textId="77777777" w:rsidR="005A169D" w:rsidRDefault="00000000">
            <w:pPr>
              <w:keepNext/>
              <w:spacing w:after="0" w:line="283" w:lineRule="auto"/>
              <w:jc w:val="left"/>
            </w:pPr>
            <w:r>
              <w:rPr>
                <w:rFonts w:eastAsia="Calibri"/>
                <w:sz w:val="19"/>
              </w:rPr>
              <w:t>Pétrole plus cher peut renforcer l'inflation et affaiblir la demande.</w:t>
            </w:r>
          </w:p>
        </w:tc>
      </w:tr>
      <w:tr w:rsidR="005A169D" w14:paraId="1A119277" w14:textId="77777777">
        <w:trPr>
          <w:cantSplit/>
        </w:trPr>
        <w:tc>
          <w:tcPr>
            <w:tcW w:w="1200" w:type="dxa"/>
            <w:shd w:val="clear" w:color="auto" w:fill="FAFBFC"/>
            <w:tcMar>
              <w:top w:w="80" w:type="dxa"/>
              <w:left w:w="120" w:type="dxa"/>
              <w:bottom w:w="80" w:type="dxa"/>
              <w:right w:w="120" w:type="dxa"/>
            </w:tcMar>
            <w:vAlign w:val="center"/>
          </w:tcPr>
          <w:p w14:paraId="31FD84FF" w14:textId="77777777" w:rsidR="005A169D" w:rsidRDefault="00000000">
            <w:pPr>
              <w:keepNext/>
              <w:spacing w:after="0" w:line="283" w:lineRule="auto"/>
              <w:jc w:val="left"/>
            </w:pPr>
            <w:r>
              <w:rPr>
                <w:rFonts w:eastAsia="Calibri"/>
                <w:sz w:val="19"/>
              </w:rPr>
              <w:t>Marchés</w:t>
            </w:r>
          </w:p>
        </w:tc>
        <w:tc>
          <w:tcPr>
            <w:tcW w:w="3400" w:type="dxa"/>
            <w:shd w:val="clear" w:color="auto" w:fill="FAFBFC"/>
            <w:tcMar>
              <w:top w:w="80" w:type="dxa"/>
              <w:left w:w="120" w:type="dxa"/>
              <w:bottom w:w="80" w:type="dxa"/>
              <w:right w:w="120" w:type="dxa"/>
            </w:tcMar>
            <w:vAlign w:val="center"/>
          </w:tcPr>
          <w:p w14:paraId="65E3E933" w14:textId="77777777" w:rsidR="005A169D" w:rsidRDefault="00000000">
            <w:pPr>
              <w:keepNext/>
              <w:spacing w:after="0" w:line="283" w:lineRule="auto"/>
              <w:jc w:val="left"/>
            </w:pPr>
            <w:r>
              <w:rPr>
                <w:rFonts w:eastAsia="Calibri"/>
                <w:sz w:val="19"/>
              </w:rPr>
              <w:t>Qui confirme ?</w:t>
            </w:r>
          </w:p>
        </w:tc>
        <w:tc>
          <w:tcPr>
            <w:tcW w:w="4760" w:type="dxa"/>
            <w:shd w:val="clear" w:color="auto" w:fill="FAFBFC"/>
            <w:tcMar>
              <w:top w:w="80" w:type="dxa"/>
              <w:left w:w="120" w:type="dxa"/>
              <w:bottom w:w="80" w:type="dxa"/>
              <w:right w:w="120" w:type="dxa"/>
            </w:tcMar>
            <w:vAlign w:val="center"/>
          </w:tcPr>
          <w:p w14:paraId="73763D10" w14:textId="77777777" w:rsidR="005A169D" w:rsidRDefault="00000000">
            <w:pPr>
              <w:keepNext/>
              <w:spacing w:after="0" w:line="283" w:lineRule="auto"/>
              <w:jc w:val="left"/>
            </w:pPr>
            <w:r>
              <w:rPr>
                <w:rFonts w:eastAsia="Calibri"/>
                <w:sz w:val="19"/>
              </w:rPr>
              <w:t>Brent, courbes de futures, devises importatrices et transport.</w:t>
            </w:r>
          </w:p>
        </w:tc>
      </w:tr>
      <w:tr w:rsidR="005A169D" w14:paraId="6FE7B023" w14:textId="77777777">
        <w:trPr>
          <w:cantSplit/>
        </w:trPr>
        <w:tc>
          <w:tcPr>
            <w:tcW w:w="1200" w:type="dxa"/>
            <w:tcMar>
              <w:top w:w="80" w:type="dxa"/>
              <w:left w:w="120" w:type="dxa"/>
              <w:bottom w:w="80" w:type="dxa"/>
              <w:right w:w="120" w:type="dxa"/>
            </w:tcMar>
            <w:vAlign w:val="center"/>
          </w:tcPr>
          <w:p w14:paraId="2F2C9841" w14:textId="77777777" w:rsidR="005A169D" w:rsidRDefault="00000000">
            <w:pPr>
              <w:spacing w:after="0" w:line="283" w:lineRule="auto"/>
              <w:jc w:val="left"/>
            </w:pPr>
            <w:r>
              <w:rPr>
                <w:rFonts w:eastAsia="Calibri"/>
                <w:sz w:val="19"/>
              </w:rPr>
              <w:t>Invalidation</w:t>
            </w:r>
          </w:p>
        </w:tc>
        <w:tc>
          <w:tcPr>
            <w:tcW w:w="3400" w:type="dxa"/>
            <w:tcMar>
              <w:top w:w="80" w:type="dxa"/>
              <w:left w:w="120" w:type="dxa"/>
              <w:bottom w:w="80" w:type="dxa"/>
              <w:right w:w="120" w:type="dxa"/>
            </w:tcMar>
            <w:vAlign w:val="center"/>
          </w:tcPr>
          <w:p w14:paraId="5CD9B1DB" w14:textId="77777777" w:rsidR="005A169D" w:rsidRDefault="00000000">
            <w:pPr>
              <w:spacing w:after="0" w:line="283" w:lineRule="auto"/>
              <w:jc w:val="left"/>
            </w:pPr>
            <w:r>
              <w:rPr>
                <w:rFonts w:eastAsia="Calibri"/>
                <w:sz w:val="19"/>
              </w:rPr>
              <w:t>Quel fait détruit le scénario ?</w:t>
            </w:r>
          </w:p>
        </w:tc>
        <w:tc>
          <w:tcPr>
            <w:tcW w:w="4760" w:type="dxa"/>
            <w:tcMar>
              <w:top w:w="80" w:type="dxa"/>
              <w:left w:w="120" w:type="dxa"/>
              <w:bottom w:w="80" w:type="dxa"/>
              <w:right w:w="120" w:type="dxa"/>
            </w:tcMar>
            <w:vAlign w:val="center"/>
          </w:tcPr>
          <w:p w14:paraId="2688F9E6" w14:textId="77777777" w:rsidR="005A169D" w:rsidRDefault="00000000">
            <w:pPr>
              <w:spacing w:after="0" w:line="283" w:lineRule="auto"/>
              <w:jc w:val="left"/>
            </w:pPr>
            <w:r>
              <w:rPr>
                <w:rFonts w:eastAsia="Calibri"/>
                <w:sz w:val="19"/>
              </w:rPr>
              <w:t>Réouverture vérifiée, reprise des flux ou chute de la demande.</w:t>
            </w:r>
          </w:p>
        </w:tc>
      </w:tr>
    </w:tbl>
    <w:p w14:paraId="265D28C6" w14:textId="77777777" w:rsidR="005A169D" w:rsidRDefault="005A169D">
      <w:pPr>
        <w:spacing w:after="100"/>
      </w:pPr>
    </w:p>
    <w:p w14:paraId="5EF209B9" w14:textId="77777777" w:rsidR="005A169D" w:rsidRDefault="00000000">
      <w:pPr>
        <w:spacing w:before="40" w:after="100"/>
        <w:jc w:val="center"/>
      </w:pPr>
      <w:r>
        <w:rPr>
          <w:rFonts w:eastAsia="Calibri"/>
          <w:i/>
          <w:color w:val="667085"/>
          <w:sz w:val="17"/>
        </w:rPr>
        <w:t xml:space="preserve">Sources : </w:t>
      </w:r>
      <w:hyperlink r:id="rId55">
        <w:r>
          <w:rPr>
            <w:color w:val="2E74B5"/>
            <w:u w:val="single"/>
          </w:rPr>
          <w:t>U.S. EIA — Le détroit d'Ormuz, point de passage critique du pétrole</w:t>
        </w:r>
      </w:hyperlink>
    </w:p>
    <w:p w14:paraId="722C7773" w14:textId="77777777" w:rsidR="005A169D" w:rsidRDefault="00000000">
      <w:pPr>
        <w:pStyle w:val="Titre1"/>
        <w:keepNext/>
        <w:spacing w:after="140"/>
      </w:pPr>
      <w:r>
        <w:rPr>
          <w:rFonts w:eastAsia="Calibri"/>
          <w:b/>
          <w:color w:val="0B2545"/>
          <w:sz w:val="48"/>
        </w:rPr>
        <w:t>12. Limites, erreurs et discipline</w:t>
      </w:r>
    </w:p>
    <w:p w14:paraId="2EEF7D80" w14:textId="77777777" w:rsidR="005A169D" w:rsidRDefault="00000000">
      <w:pPr>
        <w:keepNext/>
        <w:spacing w:after="320"/>
      </w:pPr>
      <w:r>
        <w:rPr>
          <w:rFonts w:eastAsia="Calibri"/>
          <w:i/>
          <w:color w:val="1F4D78"/>
          <w:sz w:val="26"/>
        </w:rPr>
        <w:t>La géopolitique augmente l'incertitude ; elle ne supprime jamais le besoin de gérer le risque.</w:t>
      </w:r>
    </w:p>
    <w:p w14:paraId="34AE61C1" w14:textId="77777777" w:rsidR="005A169D" w:rsidRDefault="00000000">
      <w:pPr>
        <w:pStyle w:val="Titre2"/>
      </w:pPr>
      <w:r>
        <w:t>12.1 Les douze erreurs du débutant</w:t>
      </w:r>
    </w:p>
    <w:p w14:paraId="20E9032E" w14:textId="77777777" w:rsidR="005A169D" w:rsidRDefault="00000000">
      <w:pPr>
        <w:numPr>
          <w:ilvl w:val="0"/>
          <w:numId w:val="1"/>
        </w:numPr>
        <w:spacing w:after="80" w:line="300" w:lineRule="auto"/>
      </w:pPr>
      <w:r>
        <w:rPr>
          <w:rFonts w:eastAsia="Calibri"/>
          <w:color w:val="111111"/>
        </w:rPr>
        <w:t>Trader un titre avant de lire le détail.</w:t>
      </w:r>
    </w:p>
    <w:p w14:paraId="262BBBED" w14:textId="77777777" w:rsidR="005A169D" w:rsidRDefault="00000000">
      <w:pPr>
        <w:numPr>
          <w:ilvl w:val="0"/>
          <w:numId w:val="1"/>
        </w:numPr>
        <w:spacing w:after="80" w:line="300" w:lineRule="auto"/>
      </w:pPr>
      <w:r>
        <w:rPr>
          <w:rFonts w:eastAsia="Calibri"/>
          <w:color w:val="111111"/>
        </w:rPr>
        <w:t>Confondre gravité humaine et impact financier.</w:t>
      </w:r>
    </w:p>
    <w:p w14:paraId="76D5401F" w14:textId="77777777" w:rsidR="005A169D" w:rsidRDefault="00000000">
      <w:pPr>
        <w:numPr>
          <w:ilvl w:val="0"/>
          <w:numId w:val="1"/>
        </w:numPr>
        <w:spacing w:after="80" w:line="300" w:lineRule="auto"/>
      </w:pPr>
      <w:r>
        <w:rPr>
          <w:rFonts w:eastAsia="Calibri"/>
          <w:color w:val="111111"/>
        </w:rPr>
        <w:t>Supposer que guerre signifie automatiquement actions en baisse.</w:t>
      </w:r>
    </w:p>
    <w:p w14:paraId="6E09DAF9" w14:textId="77777777" w:rsidR="005A169D" w:rsidRDefault="00000000">
      <w:pPr>
        <w:numPr>
          <w:ilvl w:val="0"/>
          <w:numId w:val="1"/>
        </w:numPr>
        <w:spacing w:after="80" w:line="300" w:lineRule="auto"/>
      </w:pPr>
      <w:r>
        <w:rPr>
          <w:rFonts w:eastAsia="Calibri"/>
          <w:color w:val="111111"/>
        </w:rPr>
        <w:t>Oublier que l'événement était peut-être déjà anticipé.</w:t>
      </w:r>
    </w:p>
    <w:p w14:paraId="0B226A16" w14:textId="77777777" w:rsidR="005A169D" w:rsidRDefault="00000000">
      <w:pPr>
        <w:numPr>
          <w:ilvl w:val="0"/>
          <w:numId w:val="1"/>
        </w:numPr>
        <w:spacing w:after="80" w:line="300" w:lineRule="auto"/>
      </w:pPr>
      <w:r>
        <w:rPr>
          <w:rFonts w:eastAsia="Calibri"/>
          <w:color w:val="111111"/>
        </w:rPr>
        <w:t>Attribuer toute la tendance à une seule date.</w:t>
      </w:r>
    </w:p>
    <w:p w14:paraId="424C898F" w14:textId="77777777" w:rsidR="005A169D" w:rsidRDefault="00000000">
      <w:pPr>
        <w:numPr>
          <w:ilvl w:val="0"/>
          <w:numId w:val="1"/>
        </w:numPr>
        <w:spacing w:after="80" w:line="300" w:lineRule="auto"/>
      </w:pPr>
      <w:r>
        <w:rPr>
          <w:rFonts w:eastAsia="Calibri"/>
          <w:color w:val="111111"/>
        </w:rPr>
        <w:t>Ignorer la durée et la capacité de substitution.</w:t>
      </w:r>
    </w:p>
    <w:p w14:paraId="0D461C4D" w14:textId="77777777" w:rsidR="005A169D" w:rsidRDefault="00000000">
      <w:pPr>
        <w:numPr>
          <w:ilvl w:val="0"/>
          <w:numId w:val="1"/>
        </w:numPr>
        <w:spacing w:after="80" w:line="300" w:lineRule="auto"/>
      </w:pPr>
      <w:r>
        <w:rPr>
          <w:rFonts w:eastAsia="Calibri"/>
          <w:color w:val="111111"/>
        </w:rPr>
        <w:t>Utiliser un mauvais proxy, comme un indice de vrac pour prouver le prix des conteneurs.</w:t>
      </w:r>
    </w:p>
    <w:p w14:paraId="55B87848" w14:textId="77777777" w:rsidR="005A169D" w:rsidRDefault="00000000">
      <w:pPr>
        <w:numPr>
          <w:ilvl w:val="0"/>
          <w:numId w:val="1"/>
        </w:numPr>
        <w:spacing w:after="80" w:line="300" w:lineRule="auto"/>
      </w:pPr>
      <w:r>
        <w:rPr>
          <w:rFonts w:eastAsia="Calibri"/>
          <w:color w:val="111111"/>
        </w:rPr>
        <w:t>Croire qu'un refuge monte dans toutes les crises.</w:t>
      </w:r>
    </w:p>
    <w:p w14:paraId="20EB58D8" w14:textId="77777777" w:rsidR="005A169D" w:rsidRDefault="00000000">
      <w:pPr>
        <w:numPr>
          <w:ilvl w:val="0"/>
          <w:numId w:val="1"/>
        </w:numPr>
        <w:spacing w:after="80" w:line="300" w:lineRule="auto"/>
      </w:pPr>
      <w:r>
        <w:rPr>
          <w:rFonts w:eastAsia="Calibri"/>
          <w:color w:val="111111"/>
        </w:rPr>
        <w:t>Lire le VIX comme une prévision de baisse.</w:t>
      </w:r>
    </w:p>
    <w:p w14:paraId="7FBC2584" w14:textId="77777777" w:rsidR="005A169D" w:rsidRDefault="00000000">
      <w:pPr>
        <w:numPr>
          <w:ilvl w:val="0"/>
          <w:numId w:val="1"/>
        </w:numPr>
        <w:spacing w:after="80" w:line="300" w:lineRule="auto"/>
      </w:pPr>
      <w:r>
        <w:rPr>
          <w:rFonts w:eastAsia="Calibri"/>
          <w:color w:val="111111"/>
        </w:rPr>
        <w:t>Faire confiance à un prix rendu artificiel par des contrôles de capitaux.</w:t>
      </w:r>
    </w:p>
    <w:p w14:paraId="6FF82AFE" w14:textId="77777777" w:rsidR="005A169D" w:rsidRDefault="00000000">
      <w:pPr>
        <w:numPr>
          <w:ilvl w:val="0"/>
          <w:numId w:val="1"/>
        </w:numPr>
        <w:spacing w:after="80" w:line="300" w:lineRule="auto"/>
      </w:pPr>
      <w:r>
        <w:rPr>
          <w:rFonts w:eastAsia="Calibri"/>
          <w:color w:val="111111"/>
        </w:rPr>
        <w:t>Augmenter la taille parce que le récit paraît évident.</w:t>
      </w:r>
    </w:p>
    <w:p w14:paraId="1E963DCC" w14:textId="77777777" w:rsidR="005A169D" w:rsidRDefault="00000000">
      <w:pPr>
        <w:numPr>
          <w:ilvl w:val="0"/>
          <w:numId w:val="1"/>
        </w:numPr>
        <w:spacing w:after="80" w:line="300" w:lineRule="auto"/>
      </w:pPr>
      <w:r>
        <w:rPr>
          <w:rFonts w:eastAsia="Calibri"/>
          <w:color w:val="111111"/>
        </w:rPr>
        <w:t>Entrer pendant un gap sans accepter le slippage possible.</w:t>
      </w:r>
    </w:p>
    <w:p w14:paraId="04CD87C4" w14:textId="77777777" w:rsidR="005A169D" w:rsidRDefault="00000000">
      <w:pPr>
        <w:pStyle w:val="Titre2"/>
      </w:pPr>
      <w:r>
        <w:t>12.2 Checklist avant d'agir</w:t>
      </w:r>
    </w:p>
    <w:p w14:paraId="5BDE16B6" w14:textId="77777777" w:rsidR="005A169D" w:rsidRDefault="00000000">
      <w:pPr>
        <w:numPr>
          <w:ilvl w:val="0"/>
          <w:numId w:val="1"/>
        </w:numPr>
        <w:spacing w:after="80" w:line="300" w:lineRule="auto"/>
      </w:pPr>
      <w:r>
        <w:rPr>
          <w:rFonts w:eastAsia="Calibri"/>
          <w:color w:val="111111"/>
        </w:rPr>
        <w:t>Le fait est confirmé par au moins une source primaire.</w:t>
      </w:r>
    </w:p>
    <w:p w14:paraId="721A19E8" w14:textId="77777777" w:rsidR="005A169D" w:rsidRDefault="00000000">
      <w:pPr>
        <w:numPr>
          <w:ilvl w:val="0"/>
          <w:numId w:val="1"/>
        </w:numPr>
        <w:spacing w:after="80" w:line="300" w:lineRule="auto"/>
      </w:pPr>
      <w:r>
        <w:rPr>
          <w:rFonts w:eastAsia="Calibri"/>
          <w:color w:val="111111"/>
        </w:rPr>
        <w:t>Le canal économique est formulé en une phrase concrète.</w:t>
      </w:r>
    </w:p>
    <w:p w14:paraId="6E60D8A8" w14:textId="77777777" w:rsidR="005A169D" w:rsidRDefault="00000000">
      <w:pPr>
        <w:numPr>
          <w:ilvl w:val="0"/>
          <w:numId w:val="1"/>
        </w:numPr>
        <w:spacing w:after="80" w:line="300" w:lineRule="auto"/>
      </w:pPr>
      <w:r>
        <w:rPr>
          <w:rFonts w:eastAsia="Calibri"/>
          <w:color w:val="111111"/>
        </w:rPr>
        <w:t>Les actifs directement et indirectement exposés sont séparés.</w:t>
      </w:r>
    </w:p>
    <w:p w14:paraId="14649D25" w14:textId="77777777" w:rsidR="005A169D" w:rsidRDefault="00000000">
      <w:pPr>
        <w:numPr>
          <w:ilvl w:val="0"/>
          <w:numId w:val="1"/>
        </w:numPr>
        <w:spacing w:after="80" w:line="300" w:lineRule="auto"/>
      </w:pPr>
      <w:r>
        <w:rPr>
          <w:rFonts w:eastAsia="Calibri"/>
          <w:color w:val="111111"/>
        </w:rPr>
        <w:t>La tendance antérieure et la part déjà intégrée sont identifiées.</w:t>
      </w:r>
    </w:p>
    <w:p w14:paraId="72ED4E82" w14:textId="77777777" w:rsidR="005A169D" w:rsidRDefault="00000000">
      <w:pPr>
        <w:numPr>
          <w:ilvl w:val="0"/>
          <w:numId w:val="1"/>
        </w:numPr>
        <w:spacing w:after="80" w:line="300" w:lineRule="auto"/>
      </w:pPr>
      <w:r>
        <w:rPr>
          <w:rFonts w:eastAsia="Calibri"/>
          <w:color w:val="111111"/>
        </w:rPr>
        <w:t>La durée, la taille et les substitutions sont estimées.</w:t>
      </w:r>
    </w:p>
    <w:p w14:paraId="14E9C8AA" w14:textId="77777777" w:rsidR="005A169D" w:rsidRDefault="00000000">
      <w:pPr>
        <w:numPr>
          <w:ilvl w:val="0"/>
          <w:numId w:val="1"/>
        </w:numPr>
        <w:spacing w:after="80" w:line="300" w:lineRule="auto"/>
      </w:pPr>
      <w:r>
        <w:rPr>
          <w:rFonts w:eastAsia="Calibri"/>
          <w:color w:val="111111"/>
        </w:rPr>
        <w:t>La réponse des États, banques centrales ou producteurs est envisagée.</w:t>
      </w:r>
    </w:p>
    <w:p w14:paraId="67C3E9E9" w14:textId="77777777" w:rsidR="005A169D" w:rsidRDefault="00000000">
      <w:pPr>
        <w:numPr>
          <w:ilvl w:val="0"/>
          <w:numId w:val="1"/>
        </w:numPr>
        <w:spacing w:after="80" w:line="300" w:lineRule="auto"/>
      </w:pPr>
      <w:r>
        <w:rPr>
          <w:rFonts w:eastAsia="Calibri"/>
          <w:color w:val="111111"/>
        </w:rPr>
        <w:t>Un second marché confirme le scénario.</w:t>
      </w:r>
    </w:p>
    <w:p w14:paraId="61F18CC6" w14:textId="77777777" w:rsidR="005A169D" w:rsidRDefault="00000000">
      <w:pPr>
        <w:numPr>
          <w:ilvl w:val="0"/>
          <w:numId w:val="1"/>
        </w:numPr>
        <w:spacing w:after="80" w:line="300" w:lineRule="auto"/>
      </w:pPr>
      <w:r>
        <w:rPr>
          <w:rFonts w:eastAsia="Calibri"/>
          <w:color w:val="111111"/>
        </w:rPr>
        <w:t>L'invalidation fondamentale et technique est écrite.</w:t>
      </w:r>
    </w:p>
    <w:p w14:paraId="0AB26ECF" w14:textId="77777777" w:rsidR="005A169D" w:rsidRDefault="00000000">
      <w:pPr>
        <w:numPr>
          <w:ilvl w:val="0"/>
          <w:numId w:val="1"/>
        </w:numPr>
        <w:spacing w:after="80" w:line="300" w:lineRule="auto"/>
      </w:pPr>
      <w:r>
        <w:rPr>
          <w:rFonts w:eastAsia="Calibri"/>
          <w:color w:val="111111"/>
        </w:rPr>
        <w:t>La taille tient compte des gaps, de la volatilité et du slippage.</w:t>
      </w:r>
    </w:p>
    <w:p w14:paraId="7A51BDBB" w14:textId="77777777" w:rsidR="005A169D" w:rsidRDefault="00000000">
      <w:pPr>
        <w:pStyle w:val="Titre2"/>
      </w:pPr>
      <w:r>
        <w:t>12.3 Ce que les graphiques de cette Partie 3 enseignent</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800"/>
        <w:gridCol w:w="3300"/>
        <w:gridCol w:w="4260"/>
      </w:tblGrid>
      <w:tr w:rsidR="005A169D" w14:paraId="60FB0825" w14:textId="77777777">
        <w:trPr>
          <w:cantSplit/>
          <w:tblHeader/>
        </w:trPr>
        <w:tc>
          <w:tcPr>
            <w:tcW w:w="1800" w:type="dxa"/>
            <w:shd w:val="clear" w:color="auto" w:fill="F4F6F9"/>
            <w:tcMar>
              <w:top w:w="80" w:type="dxa"/>
              <w:left w:w="120" w:type="dxa"/>
              <w:bottom w:w="80" w:type="dxa"/>
              <w:right w:w="120" w:type="dxa"/>
            </w:tcMar>
            <w:vAlign w:val="center"/>
          </w:tcPr>
          <w:p w14:paraId="2CE8BA87" w14:textId="77777777" w:rsidR="005A169D" w:rsidRDefault="00000000">
            <w:pPr>
              <w:keepNext/>
              <w:spacing w:after="0" w:line="283" w:lineRule="auto"/>
              <w:jc w:val="left"/>
            </w:pPr>
            <w:r>
              <w:rPr>
                <w:rFonts w:eastAsia="Calibri"/>
                <w:b/>
                <w:color w:val="0B2545"/>
                <w:sz w:val="19"/>
              </w:rPr>
              <w:t>Cas</w:t>
            </w:r>
          </w:p>
        </w:tc>
        <w:tc>
          <w:tcPr>
            <w:tcW w:w="3300" w:type="dxa"/>
            <w:shd w:val="clear" w:color="auto" w:fill="F4F6F9"/>
            <w:tcMar>
              <w:top w:w="80" w:type="dxa"/>
              <w:left w:w="120" w:type="dxa"/>
              <w:bottom w:w="80" w:type="dxa"/>
              <w:right w:w="120" w:type="dxa"/>
            </w:tcMar>
            <w:vAlign w:val="center"/>
          </w:tcPr>
          <w:p w14:paraId="77488FCD" w14:textId="77777777" w:rsidR="005A169D" w:rsidRDefault="00000000">
            <w:pPr>
              <w:keepNext/>
              <w:spacing w:after="0" w:line="283" w:lineRule="auto"/>
              <w:jc w:val="left"/>
            </w:pPr>
            <w:r>
              <w:rPr>
                <w:rFonts w:eastAsia="Calibri"/>
                <w:b/>
                <w:color w:val="0B2545"/>
                <w:sz w:val="19"/>
              </w:rPr>
              <w:t>Mécanisme principal</w:t>
            </w:r>
          </w:p>
        </w:tc>
        <w:tc>
          <w:tcPr>
            <w:tcW w:w="4260" w:type="dxa"/>
            <w:shd w:val="clear" w:color="auto" w:fill="F4F6F9"/>
            <w:tcMar>
              <w:top w:w="80" w:type="dxa"/>
              <w:left w:w="120" w:type="dxa"/>
              <w:bottom w:w="80" w:type="dxa"/>
              <w:right w:w="120" w:type="dxa"/>
            </w:tcMar>
            <w:vAlign w:val="center"/>
          </w:tcPr>
          <w:p w14:paraId="35C1A59B" w14:textId="77777777" w:rsidR="005A169D" w:rsidRDefault="00000000">
            <w:pPr>
              <w:keepNext/>
              <w:spacing w:after="0" w:line="283" w:lineRule="auto"/>
              <w:jc w:val="left"/>
            </w:pPr>
            <w:r>
              <w:rPr>
                <w:rFonts w:eastAsia="Calibri"/>
                <w:b/>
                <w:color w:val="0B2545"/>
                <w:sz w:val="19"/>
              </w:rPr>
              <w:t>Leçon</w:t>
            </w:r>
          </w:p>
        </w:tc>
      </w:tr>
      <w:tr w:rsidR="005A169D" w14:paraId="1D37737C" w14:textId="77777777">
        <w:trPr>
          <w:cantSplit/>
        </w:trPr>
        <w:tc>
          <w:tcPr>
            <w:tcW w:w="1800" w:type="dxa"/>
            <w:tcMar>
              <w:top w:w="80" w:type="dxa"/>
              <w:left w:w="120" w:type="dxa"/>
              <w:bottom w:w="80" w:type="dxa"/>
              <w:right w:w="120" w:type="dxa"/>
            </w:tcMar>
            <w:vAlign w:val="center"/>
          </w:tcPr>
          <w:p w14:paraId="19744F4E" w14:textId="77777777" w:rsidR="005A169D" w:rsidRDefault="00000000">
            <w:pPr>
              <w:keepNext/>
              <w:spacing w:after="0" w:line="283" w:lineRule="auto"/>
              <w:jc w:val="left"/>
            </w:pPr>
            <w:r>
              <w:rPr>
                <w:rFonts w:eastAsia="Calibri"/>
                <w:sz w:val="19"/>
              </w:rPr>
              <w:t>Brexit</w:t>
            </w:r>
          </w:p>
        </w:tc>
        <w:tc>
          <w:tcPr>
            <w:tcW w:w="3300" w:type="dxa"/>
            <w:tcMar>
              <w:top w:w="80" w:type="dxa"/>
              <w:left w:w="120" w:type="dxa"/>
              <w:bottom w:w="80" w:type="dxa"/>
              <w:right w:w="120" w:type="dxa"/>
            </w:tcMar>
            <w:vAlign w:val="center"/>
          </w:tcPr>
          <w:p w14:paraId="1E133157" w14:textId="77777777" w:rsidR="005A169D" w:rsidRDefault="00000000">
            <w:pPr>
              <w:keepNext/>
              <w:spacing w:after="0" w:line="283" w:lineRule="auto"/>
              <w:jc w:val="left"/>
            </w:pPr>
            <w:r>
              <w:rPr>
                <w:rFonts w:eastAsia="Calibri"/>
                <w:sz w:val="19"/>
              </w:rPr>
              <w:t>Surprise politique et devise.</w:t>
            </w:r>
          </w:p>
        </w:tc>
        <w:tc>
          <w:tcPr>
            <w:tcW w:w="4260" w:type="dxa"/>
            <w:tcMar>
              <w:top w:w="80" w:type="dxa"/>
              <w:left w:w="120" w:type="dxa"/>
              <w:bottom w:w="80" w:type="dxa"/>
              <w:right w:w="120" w:type="dxa"/>
            </w:tcMar>
            <w:vAlign w:val="center"/>
          </w:tcPr>
          <w:p w14:paraId="61588D74" w14:textId="77777777" w:rsidR="005A169D" w:rsidRDefault="00000000">
            <w:pPr>
              <w:keepNext/>
              <w:spacing w:after="0" w:line="283" w:lineRule="auto"/>
              <w:jc w:val="left"/>
            </w:pPr>
            <w:r>
              <w:rPr>
                <w:rFonts w:eastAsia="Calibri"/>
                <w:sz w:val="19"/>
              </w:rPr>
              <w:t>Un résultat binaire peut créer un gap durable.</w:t>
            </w:r>
          </w:p>
        </w:tc>
      </w:tr>
      <w:tr w:rsidR="005A169D" w14:paraId="6AFDD91B" w14:textId="77777777">
        <w:trPr>
          <w:cantSplit/>
        </w:trPr>
        <w:tc>
          <w:tcPr>
            <w:tcW w:w="1800" w:type="dxa"/>
            <w:shd w:val="clear" w:color="auto" w:fill="FAFBFC"/>
            <w:tcMar>
              <w:top w:w="80" w:type="dxa"/>
              <w:left w:w="120" w:type="dxa"/>
              <w:bottom w:w="80" w:type="dxa"/>
              <w:right w:w="120" w:type="dxa"/>
            </w:tcMar>
            <w:vAlign w:val="center"/>
          </w:tcPr>
          <w:p w14:paraId="73561570" w14:textId="77777777" w:rsidR="005A169D" w:rsidRDefault="00000000">
            <w:pPr>
              <w:keepNext/>
              <w:spacing w:after="0" w:line="283" w:lineRule="auto"/>
              <w:jc w:val="left"/>
            </w:pPr>
            <w:r>
              <w:rPr>
                <w:rFonts w:eastAsia="Calibri"/>
                <w:sz w:val="19"/>
              </w:rPr>
              <w:t>Abqaiq</w:t>
            </w:r>
          </w:p>
        </w:tc>
        <w:tc>
          <w:tcPr>
            <w:tcW w:w="3300" w:type="dxa"/>
            <w:shd w:val="clear" w:color="auto" w:fill="FAFBFC"/>
            <w:tcMar>
              <w:top w:w="80" w:type="dxa"/>
              <w:left w:w="120" w:type="dxa"/>
              <w:bottom w:w="80" w:type="dxa"/>
              <w:right w:w="120" w:type="dxa"/>
            </w:tcMar>
            <w:vAlign w:val="center"/>
          </w:tcPr>
          <w:p w14:paraId="48816F22" w14:textId="77777777" w:rsidR="005A169D" w:rsidRDefault="00000000">
            <w:pPr>
              <w:keepNext/>
              <w:spacing w:after="0" w:line="283" w:lineRule="auto"/>
              <w:jc w:val="left"/>
            </w:pPr>
            <w:r>
              <w:rPr>
                <w:rFonts w:eastAsia="Calibri"/>
                <w:sz w:val="19"/>
              </w:rPr>
              <w:t>Interruption pétrolière.</w:t>
            </w:r>
          </w:p>
        </w:tc>
        <w:tc>
          <w:tcPr>
            <w:tcW w:w="4260" w:type="dxa"/>
            <w:shd w:val="clear" w:color="auto" w:fill="FAFBFC"/>
            <w:tcMar>
              <w:top w:w="80" w:type="dxa"/>
              <w:left w:w="120" w:type="dxa"/>
              <w:bottom w:w="80" w:type="dxa"/>
              <w:right w:w="120" w:type="dxa"/>
            </w:tcMar>
            <w:vAlign w:val="center"/>
          </w:tcPr>
          <w:p w14:paraId="28915886" w14:textId="77777777" w:rsidR="005A169D" w:rsidRDefault="00000000">
            <w:pPr>
              <w:keepNext/>
              <w:spacing w:after="0" w:line="283" w:lineRule="auto"/>
              <w:jc w:val="left"/>
            </w:pPr>
            <w:r>
              <w:rPr>
                <w:rFonts w:eastAsia="Calibri"/>
                <w:sz w:val="19"/>
              </w:rPr>
              <w:t>La durée attendue peut dominer la taille initiale.</w:t>
            </w:r>
          </w:p>
        </w:tc>
      </w:tr>
      <w:tr w:rsidR="005A169D" w14:paraId="784CD71E" w14:textId="77777777">
        <w:trPr>
          <w:cantSplit/>
        </w:trPr>
        <w:tc>
          <w:tcPr>
            <w:tcW w:w="1800" w:type="dxa"/>
            <w:tcMar>
              <w:top w:w="80" w:type="dxa"/>
              <w:left w:w="120" w:type="dxa"/>
              <w:bottom w:w="80" w:type="dxa"/>
              <w:right w:w="120" w:type="dxa"/>
            </w:tcMar>
            <w:vAlign w:val="center"/>
          </w:tcPr>
          <w:p w14:paraId="277EC524" w14:textId="77777777" w:rsidR="005A169D" w:rsidRDefault="00000000">
            <w:pPr>
              <w:keepNext/>
              <w:spacing w:after="0" w:line="283" w:lineRule="auto"/>
              <w:jc w:val="left"/>
            </w:pPr>
            <w:r>
              <w:rPr>
                <w:rFonts w:eastAsia="Calibri"/>
                <w:sz w:val="19"/>
              </w:rPr>
              <w:t>Tarifs US–Chine</w:t>
            </w:r>
          </w:p>
        </w:tc>
        <w:tc>
          <w:tcPr>
            <w:tcW w:w="3300" w:type="dxa"/>
            <w:tcMar>
              <w:top w:w="80" w:type="dxa"/>
              <w:left w:w="120" w:type="dxa"/>
              <w:bottom w:w="80" w:type="dxa"/>
              <w:right w:w="120" w:type="dxa"/>
            </w:tcMar>
            <w:vAlign w:val="center"/>
          </w:tcPr>
          <w:p w14:paraId="455DB1F2" w14:textId="77777777" w:rsidR="005A169D" w:rsidRDefault="00000000">
            <w:pPr>
              <w:keepNext/>
              <w:spacing w:after="0" w:line="283" w:lineRule="auto"/>
              <w:jc w:val="left"/>
            </w:pPr>
            <w:r>
              <w:rPr>
                <w:rFonts w:eastAsia="Calibri"/>
                <w:sz w:val="19"/>
              </w:rPr>
              <w:t>Géoéconomie et change.</w:t>
            </w:r>
          </w:p>
        </w:tc>
        <w:tc>
          <w:tcPr>
            <w:tcW w:w="4260" w:type="dxa"/>
            <w:tcMar>
              <w:top w:w="80" w:type="dxa"/>
              <w:left w:w="120" w:type="dxa"/>
              <w:bottom w:w="80" w:type="dxa"/>
              <w:right w:w="120" w:type="dxa"/>
            </w:tcMar>
            <w:vAlign w:val="center"/>
          </w:tcPr>
          <w:p w14:paraId="36806FC6" w14:textId="77777777" w:rsidR="005A169D" w:rsidRDefault="00000000">
            <w:pPr>
              <w:keepNext/>
              <w:spacing w:after="0" w:line="283" w:lineRule="auto"/>
              <w:jc w:val="left"/>
            </w:pPr>
            <w:r>
              <w:rPr>
                <w:rFonts w:eastAsia="Calibri"/>
                <w:sz w:val="19"/>
              </w:rPr>
              <w:t>Une escalade se lit comme une chronologie.</w:t>
            </w:r>
          </w:p>
        </w:tc>
      </w:tr>
      <w:tr w:rsidR="005A169D" w14:paraId="2396086A" w14:textId="77777777">
        <w:trPr>
          <w:cantSplit/>
        </w:trPr>
        <w:tc>
          <w:tcPr>
            <w:tcW w:w="1800" w:type="dxa"/>
            <w:shd w:val="clear" w:color="auto" w:fill="FAFBFC"/>
            <w:tcMar>
              <w:top w:w="80" w:type="dxa"/>
              <w:left w:w="120" w:type="dxa"/>
              <w:bottom w:w="80" w:type="dxa"/>
              <w:right w:w="120" w:type="dxa"/>
            </w:tcMar>
            <w:vAlign w:val="center"/>
          </w:tcPr>
          <w:p w14:paraId="36E59216" w14:textId="77777777" w:rsidR="005A169D" w:rsidRDefault="00000000">
            <w:pPr>
              <w:keepNext/>
              <w:spacing w:after="0" w:line="283" w:lineRule="auto"/>
              <w:jc w:val="left"/>
            </w:pPr>
            <w:r>
              <w:rPr>
                <w:rFonts w:eastAsia="Calibri"/>
                <w:sz w:val="19"/>
              </w:rPr>
              <w:t>Ukraine</w:t>
            </w:r>
          </w:p>
        </w:tc>
        <w:tc>
          <w:tcPr>
            <w:tcW w:w="3300" w:type="dxa"/>
            <w:shd w:val="clear" w:color="auto" w:fill="FAFBFC"/>
            <w:tcMar>
              <w:top w:w="80" w:type="dxa"/>
              <w:left w:w="120" w:type="dxa"/>
              <w:bottom w:w="80" w:type="dxa"/>
              <w:right w:w="120" w:type="dxa"/>
            </w:tcMar>
            <w:vAlign w:val="center"/>
          </w:tcPr>
          <w:p w14:paraId="202216F5" w14:textId="77777777" w:rsidR="005A169D" w:rsidRDefault="00000000">
            <w:pPr>
              <w:keepNext/>
              <w:spacing w:after="0" w:line="283" w:lineRule="auto"/>
              <w:jc w:val="left"/>
            </w:pPr>
            <w:r>
              <w:rPr>
                <w:rFonts w:eastAsia="Calibri"/>
                <w:sz w:val="19"/>
              </w:rPr>
              <w:t>Énergie, blé, sanctions, volatilité.</w:t>
            </w:r>
          </w:p>
        </w:tc>
        <w:tc>
          <w:tcPr>
            <w:tcW w:w="4260" w:type="dxa"/>
            <w:shd w:val="clear" w:color="auto" w:fill="FAFBFC"/>
            <w:tcMar>
              <w:top w:w="80" w:type="dxa"/>
              <w:left w:w="120" w:type="dxa"/>
              <w:bottom w:w="80" w:type="dxa"/>
              <w:right w:w="120" w:type="dxa"/>
            </w:tcMar>
            <w:vAlign w:val="center"/>
          </w:tcPr>
          <w:p w14:paraId="56D77AFC" w14:textId="77777777" w:rsidR="005A169D" w:rsidRDefault="00000000">
            <w:pPr>
              <w:keepNext/>
              <w:spacing w:after="0" w:line="283" w:lineRule="auto"/>
              <w:jc w:val="left"/>
            </w:pPr>
            <w:r>
              <w:rPr>
                <w:rFonts w:eastAsia="Calibri"/>
                <w:sz w:val="19"/>
              </w:rPr>
              <w:t>Comparer plusieurs actifs et la tendance précédente.</w:t>
            </w:r>
          </w:p>
        </w:tc>
      </w:tr>
      <w:tr w:rsidR="005A169D" w14:paraId="0CC690C5" w14:textId="77777777">
        <w:trPr>
          <w:cantSplit/>
        </w:trPr>
        <w:tc>
          <w:tcPr>
            <w:tcW w:w="1800" w:type="dxa"/>
            <w:tcMar>
              <w:top w:w="80" w:type="dxa"/>
              <w:left w:w="120" w:type="dxa"/>
              <w:bottom w:w="80" w:type="dxa"/>
              <w:right w:w="120" w:type="dxa"/>
            </w:tcMar>
            <w:vAlign w:val="center"/>
          </w:tcPr>
          <w:p w14:paraId="4DCD8F71" w14:textId="77777777" w:rsidR="005A169D" w:rsidRDefault="00000000">
            <w:pPr>
              <w:keepNext/>
              <w:spacing w:after="0" w:line="283" w:lineRule="auto"/>
              <w:jc w:val="left"/>
            </w:pPr>
            <w:r>
              <w:rPr>
                <w:rFonts w:eastAsia="Calibri"/>
                <w:sz w:val="19"/>
              </w:rPr>
              <w:t>Semi-conducteurs</w:t>
            </w:r>
          </w:p>
        </w:tc>
        <w:tc>
          <w:tcPr>
            <w:tcW w:w="3300" w:type="dxa"/>
            <w:tcMar>
              <w:top w:w="80" w:type="dxa"/>
              <w:left w:w="120" w:type="dxa"/>
              <w:bottom w:w="80" w:type="dxa"/>
              <w:right w:w="120" w:type="dxa"/>
            </w:tcMar>
            <w:vAlign w:val="center"/>
          </w:tcPr>
          <w:p w14:paraId="6204C016" w14:textId="77777777" w:rsidR="005A169D" w:rsidRDefault="00000000">
            <w:pPr>
              <w:keepNext/>
              <w:spacing w:after="0" w:line="283" w:lineRule="auto"/>
              <w:jc w:val="left"/>
            </w:pPr>
            <w:r>
              <w:rPr>
                <w:rFonts w:eastAsia="Calibri"/>
                <w:sz w:val="19"/>
              </w:rPr>
              <w:t>Contrôle technologique.</w:t>
            </w:r>
          </w:p>
        </w:tc>
        <w:tc>
          <w:tcPr>
            <w:tcW w:w="4260" w:type="dxa"/>
            <w:tcMar>
              <w:top w:w="80" w:type="dxa"/>
              <w:left w:w="120" w:type="dxa"/>
              <w:bottom w:w="80" w:type="dxa"/>
              <w:right w:w="120" w:type="dxa"/>
            </w:tcMar>
            <w:vAlign w:val="center"/>
          </w:tcPr>
          <w:p w14:paraId="6B49E441" w14:textId="77777777" w:rsidR="005A169D" w:rsidRDefault="00000000">
            <w:pPr>
              <w:keepNext/>
              <w:spacing w:after="0" w:line="283" w:lineRule="auto"/>
              <w:jc w:val="left"/>
            </w:pPr>
            <w:r>
              <w:rPr>
                <w:rFonts w:eastAsia="Calibri"/>
                <w:sz w:val="19"/>
              </w:rPr>
              <w:t>Mesurer l'exposition réelle et éviter la fausse causalité.</w:t>
            </w:r>
          </w:p>
        </w:tc>
      </w:tr>
      <w:tr w:rsidR="005A169D" w14:paraId="543CFA5D" w14:textId="77777777">
        <w:trPr>
          <w:cantSplit/>
        </w:trPr>
        <w:tc>
          <w:tcPr>
            <w:tcW w:w="1800" w:type="dxa"/>
            <w:shd w:val="clear" w:color="auto" w:fill="FAFBFC"/>
            <w:tcMar>
              <w:top w:w="80" w:type="dxa"/>
              <w:left w:w="120" w:type="dxa"/>
              <w:bottom w:w="80" w:type="dxa"/>
              <w:right w:w="120" w:type="dxa"/>
            </w:tcMar>
            <w:vAlign w:val="center"/>
          </w:tcPr>
          <w:p w14:paraId="38AC927C" w14:textId="77777777" w:rsidR="005A169D" w:rsidRDefault="00000000">
            <w:pPr>
              <w:spacing w:after="0" w:line="283" w:lineRule="auto"/>
              <w:jc w:val="left"/>
            </w:pPr>
            <w:r>
              <w:rPr>
                <w:rFonts w:eastAsia="Calibri"/>
                <w:sz w:val="19"/>
              </w:rPr>
              <w:t>Mer Rouge</w:t>
            </w:r>
          </w:p>
        </w:tc>
        <w:tc>
          <w:tcPr>
            <w:tcW w:w="3300" w:type="dxa"/>
            <w:shd w:val="clear" w:color="auto" w:fill="FAFBFC"/>
            <w:tcMar>
              <w:top w:w="80" w:type="dxa"/>
              <w:left w:w="120" w:type="dxa"/>
              <w:bottom w:w="80" w:type="dxa"/>
              <w:right w:w="120" w:type="dxa"/>
            </w:tcMar>
            <w:vAlign w:val="center"/>
          </w:tcPr>
          <w:p w14:paraId="4F7C6C5F" w14:textId="77777777" w:rsidR="005A169D" w:rsidRDefault="00000000">
            <w:pPr>
              <w:spacing w:after="0" w:line="283" w:lineRule="auto"/>
              <w:jc w:val="left"/>
            </w:pPr>
            <w:r>
              <w:rPr>
                <w:rFonts w:eastAsia="Calibri"/>
                <w:sz w:val="19"/>
              </w:rPr>
              <w:t>Détour maritime et fret.</w:t>
            </w:r>
          </w:p>
        </w:tc>
        <w:tc>
          <w:tcPr>
            <w:tcW w:w="4260" w:type="dxa"/>
            <w:shd w:val="clear" w:color="auto" w:fill="FAFBFC"/>
            <w:tcMar>
              <w:top w:w="80" w:type="dxa"/>
              <w:left w:w="120" w:type="dxa"/>
              <w:bottom w:w="80" w:type="dxa"/>
              <w:right w:w="120" w:type="dxa"/>
            </w:tcMar>
            <w:vAlign w:val="center"/>
          </w:tcPr>
          <w:p w14:paraId="735663BB" w14:textId="77777777" w:rsidR="005A169D" w:rsidRDefault="00000000">
            <w:pPr>
              <w:spacing w:after="0" w:line="283" w:lineRule="auto"/>
              <w:jc w:val="left"/>
            </w:pPr>
            <w:r>
              <w:rPr>
                <w:rFonts w:eastAsia="Calibri"/>
                <w:sz w:val="19"/>
              </w:rPr>
              <w:t>Choisir un proxy correspondant au flux étudié.</w:t>
            </w:r>
          </w:p>
        </w:tc>
      </w:tr>
    </w:tbl>
    <w:p w14:paraId="425D9E52" w14:textId="77777777" w:rsidR="005A169D" w:rsidRDefault="005A169D">
      <w:pPr>
        <w:spacing w:after="100"/>
      </w:pPr>
    </w:p>
    <w:p w14:paraId="1C8F9625" w14:textId="77777777" w:rsidR="005A169D" w:rsidRDefault="00000000">
      <w:pPr>
        <w:pStyle w:val="Titre1"/>
      </w:pPr>
      <w:r>
        <w:t>Conclusion générale — relier les quatre volumes</w:t>
      </w:r>
    </w:p>
    <w:p w14:paraId="4B7FC190" w14:textId="77777777" w:rsidR="005A169D" w:rsidRDefault="00000000">
      <w:pPr>
        <w:keepLines/>
      </w:pPr>
      <w:r>
        <w:rPr>
          <w:rFonts w:eastAsia="Calibri"/>
        </w:rPr>
        <w:t>Le Volume 1 apprend à comprendre un actif et à distinguer l'analyse d'entreprise, le comportement du prix et la gestion du risque. Le Volume 2 montre, à travers des cas historiques, comment exposition, financement, gouvernance et liquidité transforment une thèse. Le Volume 3 fournit les outils de lecture technique. Dans le Volume 4, les banques centrales forment la Partie 1, les données macroéconomiques la Partie 2 et les rapports de puissance capables de modifier les flux, les coûts et les primes de risque la Partie 3.</w:t>
      </w:r>
    </w:p>
    <w:p w14:paraId="7F318D05" w14:textId="77777777" w:rsidR="005A169D" w:rsidRDefault="00000000">
      <w:r>
        <w:rPr>
          <w:rFonts w:eastAsia="Calibri"/>
        </w:rPr>
        <w:t>La Partie 2 mesure les conséquences qui peuvent finir par apparaître dans le CPI, le PCE, l'emploi, le PIB, les ventes au détail et les décisions des banques centrales. La géopolitique ne répète ni ne remplace ces analyses : elle ajoute un scénario fondamental dont le canal économique, les données et le comportement du marché doivent confirmer la portée.</w:t>
      </w:r>
    </w:p>
    <w:p w14:paraId="2AFC059C" w14:textId="77777777" w:rsidR="005A169D" w:rsidRDefault="00000000">
      <w:pPr>
        <w:keepLines/>
        <w:pBdr>
          <w:left w:val="single" w:sz="18" w:space="8" w:color="2E74B5"/>
        </w:pBdr>
        <w:shd w:val="clear" w:color="auto" w:fill="EEF4FA"/>
        <w:spacing w:before="100" w:after="200" w:line="288" w:lineRule="auto"/>
        <w:ind w:left="173" w:right="115"/>
      </w:pPr>
      <w:r>
        <w:rPr>
          <w:rFonts w:eastAsia="Calibri"/>
          <w:b/>
          <w:color w:val="2E74B5"/>
          <w:sz w:val="20"/>
        </w:rPr>
        <w:t xml:space="preserve">CHAÎNE FINALE  </w:t>
      </w:r>
      <w:r>
        <w:rPr>
          <w:rFonts w:eastAsia="Calibri"/>
          <w:sz w:val="21"/>
        </w:rPr>
        <w:t>Vérifier le fait → identifier le canal → mesurer l'exposition → traduire en croissance et inflation → observer plusieurs marchés → attendre une confirmation → définir l'invalidation → dimensionner le risque.</w:t>
      </w:r>
    </w:p>
    <w:p w14:paraId="216FF0D7" w14:textId="77777777" w:rsidR="005A169D" w:rsidRDefault="00000000">
      <w:r>
        <w:rPr>
          <w:rFonts w:eastAsia="Calibri"/>
        </w:rPr>
        <w:t>Le bon analyste géopolitique n'est pas celui qui prédit toutes les crises. C'est celui qui sait distinguer une menace d'une interruption réelle, un pic d'une tendance, un prix libre d'un prix contrôlé et une corrélation d'un mécanisme. Son objectif n'est pas d'avoir raison sur le récit ; il est de construire une décision qui reste défendable lorsque les faits changent.</w:t>
      </w:r>
    </w:p>
    <w:p w14:paraId="5E77204D" w14:textId="77777777" w:rsidR="005A169D" w:rsidRDefault="00000000">
      <w:pPr>
        <w:pStyle w:val="Titre1"/>
      </w:pPr>
      <w:r>
        <w:t>Glossaire essentiel</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400"/>
        <w:gridCol w:w="6960"/>
      </w:tblGrid>
      <w:tr w:rsidR="005A169D" w14:paraId="43A3EA49" w14:textId="77777777">
        <w:trPr>
          <w:tblHeader/>
        </w:trPr>
        <w:tc>
          <w:tcPr>
            <w:tcW w:w="2400" w:type="dxa"/>
            <w:shd w:val="clear" w:color="auto" w:fill="F4F6F9"/>
            <w:tcMar>
              <w:top w:w="80" w:type="dxa"/>
              <w:left w:w="120" w:type="dxa"/>
              <w:bottom w:w="80" w:type="dxa"/>
              <w:right w:w="120" w:type="dxa"/>
            </w:tcMar>
            <w:vAlign w:val="center"/>
          </w:tcPr>
          <w:p w14:paraId="1B1F0CA8" w14:textId="77777777" w:rsidR="005A169D" w:rsidRDefault="00000000">
            <w:pPr>
              <w:spacing w:after="0" w:line="283" w:lineRule="auto"/>
              <w:jc w:val="left"/>
            </w:pPr>
            <w:r>
              <w:rPr>
                <w:rFonts w:eastAsia="Calibri"/>
                <w:b/>
                <w:color w:val="0B2545"/>
                <w:sz w:val="19"/>
              </w:rPr>
              <w:t>Terme</w:t>
            </w:r>
          </w:p>
        </w:tc>
        <w:tc>
          <w:tcPr>
            <w:tcW w:w="6960" w:type="dxa"/>
            <w:shd w:val="clear" w:color="auto" w:fill="F4F6F9"/>
            <w:tcMar>
              <w:top w:w="80" w:type="dxa"/>
              <w:left w:w="120" w:type="dxa"/>
              <w:bottom w:w="80" w:type="dxa"/>
              <w:right w:w="120" w:type="dxa"/>
            </w:tcMar>
            <w:vAlign w:val="center"/>
          </w:tcPr>
          <w:p w14:paraId="113544FA" w14:textId="77777777" w:rsidR="005A169D" w:rsidRDefault="00000000">
            <w:pPr>
              <w:spacing w:after="0" w:line="283" w:lineRule="auto"/>
              <w:jc w:val="left"/>
            </w:pPr>
            <w:r>
              <w:rPr>
                <w:rFonts w:eastAsia="Calibri"/>
                <w:b/>
                <w:color w:val="0B2545"/>
                <w:sz w:val="19"/>
              </w:rPr>
              <w:t>Définition simple</w:t>
            </w:r>
          </w:p>
        </w:tc>
      </w:tr>
      <w:tr w:rsidR="005A169D" w14:paraId="06621389" w14:textId="77777777">
        <w:tc>
          <w:tcPr>
            <w:tcW w:w="2400" w:type="dxa"/>
            <w:tcMar>
              <w:top w:w="80" w:type="dxa"/>
              <w:left w:w="120" w:type="dxa"/>
              <w:bottom w:w="80" w:type="dxa"/>
              <w:right w:w="120" w:type="dxa"/>
            </w:tcMar>
            <w:vAlign w:val="center"/>
          </w:tcPr>
          <w:p w14:paraId="025FC698" w14:textId="77777777" w:rsidR="005A169D" w:rsidRDefault="00000000">
            <w:pPr>
              <w:spacing w:after="0" w:line="283" w:lineRule="auto"/>
              <w:jc w:val="left"/>
            </w:pPr>
            <w:r>
              <w:rPr>
                <w:rFonts w:eastAsia="Calibri"/>
                <w:sz w:val="19"/>
              </w:rPr>
              <w:t>Alliance</w:t>
            </w:r>
          </w:p>
        </w:tc>
        <w:tc>
          <w:tcPr>
            <w:tcW w:w="6960" w:type="dxa"/>
            <w:tcMar>
              <w:top w:w="80" w:type="dxa"/>
              <w:left w:w="120" w:type="dxa"/>
              <w:bottom w:w="80" w:type="dxa"/>
              <w:right w:w="120" w:type="dxa"/>
            </w:tcMar>
            <w:vAlign w:val="center"/>
          </w:tcPr>
          <w:p w14:paraId="2F52610E" w14:textId="77777777" w:rsidR="005A169D" w:rsidRDefault="00000000">
            <w:pPr>
              <w:spacing w:after="0" w:line="283" w:lineRule="auto"/>
              <w:jc w:val="left"/>
            </w:pPr>
            <w:r>
              <w:rPr>
                <w:rFonts w:eastAsia="Calibri"/>
                <w:sz w:val="19"/>
              </w:rPr>
              <w:t>Engagement de coopération entre plusieurs acteurs, parfois militaire.</w:t>
            </w:r>
          </w:p>
        </w:tc>
      </w:tr>
      <w:tr w:rsidR="005A169D" w14:paraId="245692E4" w14:textId="77777777">
        <w:tc>
          <w:tcPr>
            <w:tcW w:w="2400" w:type="dxa"/>
            <w:shd w:val="clear" w:color="auto" w:fill="FAFBFC"/>
            <w:tcMar>
              <w:top w:w="80" w:type="dxa"/>
              <w:left w:w="120" w:type="dxa"/>
              <w:bottom w:w="80" w:type="dxa"/>
              <w:right w:w="120" w:type="dxa"/>
            </w:tcMar>
            <w:vAlign w:val="center"/>
          </w:tcPr>
          <w:p w14:paraId="7B9410C9" w14:textId="77777777" w:rsidR="005A169D" w:rsidRDefault="00000000">
            <w:pPr>
              <w:spacing w:after="0" w:line="283" w:lineRule="auto"/>
              <w:jc w:val="left"/>
            </w:pPr>
            <w:r>
              <w:rPr>
                <w:rFonts w:eastAsia="Calibri"/>
                <w:sz w:val="19"/>
              </w:rPr>
              <w:t>Embargo</w:t>
            </w:r>
          </w:p>
        </w:tc>
        <w:tc>
          <w:tcPr>
            <w:tcW w:w="6960" w:type="dxa"/>
            <w:shd w:val="clear" w:color="auto" w:fill="FAFBFC"/>
            <w:tcMar>
              <w:top w:w="80" w:type="dxa"/>
              <w:left w:w="120" w:type="dxa"/>
              <w:bottom w:w="80" w:type="dxa"/>
              <w:right w:w="120" w:type="dxa"/>
            </w:tcMar>
            <w:vAlign w:val="center"/>
          </w:tcPr>
          <w:p w14:paraId="7A54DAB0" w14:textId="77777777" w:rsidR="005A169D" w:rsidRDefault="00000000">
            <w:pPr>
              <w:spacing w:after="0" w:line="283" w:lineRule="auto"/>
              <w:jc w:val="left"/>
            </w:pPr>
            <w:r>
              <w:rPr>
                <w:rFonts w:eastAsia="Calibri"/>
                <w:sz w:val="19"/>
              </w:rPr>
              <w:t>Interdiction d'acheter, vendre ou transporter un produit ou vers un pays.</w:t>
            </w:r>
          </w:p>
        </w:tc>
      </w:tr>
      <w:tr w:rsidR="005A169D" w14:paraId="60F7C238" w14:textId="77777777">
        <w:tc>
          <w:tcPr>
            <w:tcW w:w="2400" w:type="dxa"/>
            <w:tcMar>
              <w:top w:w="80" w:type="dxa"/>
              <w:left w:w="120" w:type="dxa"/>
              <w:bottom w:w="80" w:type="dxa"/>
              <w:right w:w="120" w:type="dxa"/>
            </w:tcMar>
            <w:vAlign w:val="center"/>
          </w:tcPr>
          <w:p w14:paraId="284DFF89" w14:textId="77777777" w:rsidR="005A169D" w:rsidRDefault="00000000">
            <w:pPr>
              <w:spacing w:after="0" w:line="283" w:lineRule="auto"/>
              <w:jc w:val="left"/>
            </w:pPr>
            <w:r>
              <w:rPr>
                <w:rFonts w:eastAsia="Calibri"/>
                <w:sz w:val="19"/>
              </w:rPr>
              <w:t>Géoéconomie</w:t>
            </w:r>
          </w:p>
        </w:tc>
        <w:tc>
          <w:tcPr>
            <w:tcW w:w="6960" w:type="dxa"/>
            <w:tcMar>
              <w:top w:w="80" w:type="dxa"/>
              <w:left w:w="120" w:type="dxa"/>
              <w:bottom w:w="80" w:type="dxa"/>
              <w:right w:w="120" w:type="dxa"/>
            </w:tcMar>
            <w:vAlign w:val="center"/>
          </w:tcPr>
          <w:p w14:paraId="5350E1EA" w14:textId="77777777" w:rsidR="005A169D" w:rsidRDefault="00000000">
            <w:pPr>
              <w:spacing w:after="0" w:line="283" w:lineRule="auto"/>
              <w:jc w:val="left"/>
            </w:pPr>
            <w:r>
              <w:rPr>
                <w:rFonts w:eastAsia="Calibri"/>
                <w:sz w:val="19"/>
              </w:rPr>
              <w:t>Utilisation d'instruments économiques pour atteindre un objectif stratégique.</w:t>
            </w:r>
          </w:p>
        </w:tc>
      </w:tr>
      <w:tr w:rsidR="005A169D" w14:paraId="42EE5236" w14:textId="77777777">
        <w:tc>
          <w:tcPr>
            <w:tcW w:w="2400" w:type="dxa"/>
            <w:shd w:val="clear" w:color="auto" w:fill="FAFBFC"/>
            <w:tcMar>
              <w:top w:w="80" w:type="dxa"/>
              <w:left w:w="120" w:type="dxa"/>
              <w:bottom w:w="80" w:type="dxa"/>
              <w:right w:w="120" w:type="dxa"/>
            </w:tcMar>
            <w:vAlign w:val="center"/>
          </w:tcPr>
          <w:p w14:paraId="1BE2D3FC" w14:textId="77777777" w:rsidR="005A169D" w:rsidRDefault="00000000">
            <w:pPr>
              <w:spacing w:after="0" w:line="283" w:lineRule="auto"/>
              <w:jc w:val="left"/>
            </w:pPr>
            <w:r>
              <w:rPr>
                <w:rFonts w:eastAsia="Calibri"/>
                <w:sz w:val="19"/>
              </w:rPr>
              <w:t>Gap</w:t>
            </w:r>
          </w:p>
        </w:tc>
        <w:tc>
          <w:tcPr>
            <w:tcW w:w="6960" w:type="dxa"/>
            <w:shd w:val="clear" w:color="auto" w:fill="FAFBFC"/>
            <w:tcMar>
              <w:top w:w="80" w:type="dxa"/>
              <w:left w:w="120" w:type="dxa"/>
              <w:bottom w:w="80" w:type="dxa"/>
              <w:right w:w="120" w:type="dxa"/>
            </w:tcMar>
            <w:vAlign w:val="center"/>
          </w:tcPr>
          <w:p w14:paraId="67EB24C4" w14:textId="77777777" w:rsidR="005A169D" w:rsidRDefault="00000000">
            <w:pPr>
              <w:spacing w:after="0" w:line="283" w:lineRule="auto"/>
              <w:jc w:val="left"/>
            </w:pPr>
            <w:r>
              <w:rPr>
                <w:rFonts w:eastAsia="Calibri"/>
                <w:sz w:val="19"/>
              </w:rPr>
              <w:t>Espace entre deux prix lorsque le marché ouvre loin de la clôture précédente.</w:t>
            </w:r>
          </w:p>
        </w:tc>
      </w:tr>
      <w:tr w:rsidR="005A169D" w14:paraId="38A7F2CE" w14:textId="77777777">
        <w:tc>
          <w:tcPr>
            <w:tcW w:w="2400" w:type="dxa"/>
            <w:tcMar>
              <w:top w:w="80" w:type="dxa"/>
              <w:left w:w="120" w:type="dxa"/>
              <w:bottom w:w="80" w:type="dxa"/>
              <w:right w:w="120" w:type="dxa"/>
            </w:tcMar>
            <w:vAlign w:val="center"/>
          </w:tcPr>
          <w:p w14:paraId="4BD4C7BE" w14:textId="77777777" w:rsidR="005A169D" w:rsidRDefault="00000000">
            <w:pPr>
              <w:spacing w:after="0" w:line="283" w:lineRule="auto"/>
              <w:jc w:val="left"/>
            </w:pPr>
            <w:r>
              <w:rPr>
                <w:rFonts w:eastAsia="Calibri"/>
                <w:sz w:val="19"/>
              </w:rPr>
              <w:t>Hedge / couverture</w:t>
            </w:r>
          </w:p>
        </w:tc>
        <w:tc>
          <w:tcPr>
            <w:tcW w:w="6960" w:type="dxa"/>
            <w:tcMar>
              <w:top w:w="80" w:type="dxa"/>
              <w:left w:w="120" w:type="dxa"/>
              <w:bottom w:w="80" w:type="dxa"/>
              <w:right w:w="120" w:type="dxa"/>
            </w:tcMar>
            <w:vAlign w:val="center"/>
          </w:tcPr>
          <w:p w14:paraId="3CFFB3F8" w14:textId="77777777" w:rsidR="005A169D" w:rsidRDefault="00000000">
            <w:pPr>
              <w:spacing w:after="0" w:line="283" w:lineRule="auto"/>
              <w:jc w:val="left"/>
            </w:pPr>
            <w:r>
              <w:rPr>
                <w:rFonts w:eastAsia="Calibri"/>
                <w:sz w:val="19"/>
              </w:rPr>
              <w:t>Position destinée à réduire l'effet d'un risque sur un portefeuille.</w:t>
            </w:r>
          </w:p>
        </w:tc>
      </w:tr>
      <w:tr w:rsidR="005A169D" w14:paraId="4B0048FA" w14:textId="77777777">
        <w:tc>
          <w:tcPr>
            <w:tcW w:w="2400" w:type="dxa"/>
            <w:shd w:val="clear" w:color="auto" w:fill="FAFBFC"/>
            <w:tcMar>
              <w:top w:w="80" w:type="dxa"/>
              <w:left w:w="120" w:type="dxa"/>
              <w:bottom w:w="80" w:type="dxa"/>
              <w:right w:w="120" w:type="dxa"/>
            </w:tcMar>
            <w:vAlign w:val="center"/>
          </w:tcPr>
          <w:p w14:paraId="1E1AAE24" w14:textId="77777777" w:rsidR="005A169D" w:rsidRDefault="00000000">
            <w:pPr>
              <w:spacing w:after="0" w:line="283" w:lineRule="auto"/>
              <w:jc w:val="left"/>
            </w:pPr>
            <w:r>
              <w:rPr>
                <w:rFonts w:eastAsia="Calibri"/>
                <w:sz w:val="19"/>
              </w:rPr>
              <w:t>Liquidité</w:t>
            </w:r>
          </w:p>
        </w:tc>
        <w:tc>
          <w:tcPr>
            <w:tcW w:w="6960" w:type="dxa"/>
            <w:shd w:val="clear" w:color="auto" w:fill="FAFBFC"/>
            <w:tcMar>
              <w:top w:w="80" w:type="dxa"/>
              <w:left w:w="120" w:type="dxa"/>
              <w:bottom w:w="80" w:type="dxa"/>
              <w:right w:w="120" w:type="dxa"/>
            </w:tcMar>
            <w:vAlign w:val="center"/>
          </w:tcPr>
          <w:p w14:paraId="009764BD" w14:textId="77777777" w:rsidR="005A169D" w:rsidRDefault="00000000">
            <w:pPr>
              <w:spacing w:after="0" w:line="283" w:lineRule="auto"/>
              <w:jc w:val="left"/>
            </w:pPr>
            <w:r>
              <w:rPr>
                <w:rFonts w:eastAsia="Calibri"/>
                <w:sz w:val="19"/>
              </w:rPr>
              <w:t>Capacité à acheter ou vendre sans déplacer fortement le prix.</w:t>
            </w:r>
          </w:p>
        </w:tc>
      </w:tr>
      <w:tr w:rsidR="005A169D" w14:paraId="10E76411" w14:textId="77777777">
        <w:tc>
          <w:tcPr>
            <w:tcW w:w="2400" w:type="dxa"/>
            <w:tcMar>
              <w:top w:w="80" w:type="dxa"/>
              <w:left w:w="120" w:type="dxa"/>
              <w:bottom w:w="80" w:type="dxa"/>
              <w:right w:w="120" w:type="dxa"/>
            </w:tcMar>
            <w:vAlign w:val="center"/>
          </w:tcPr>
          <w:p w14:paraId="64FC8000" w14:textId="77777777" w:rsidR="005A169D" w:rsidRDefault="00000000">
            <w:pPr>
              <w:spacing w:after="0" w:line="283" w:lineRule="auto"/>
              <w:jc w:val="left"/>
            </w:pPr>
            <w:r>
              <w:rPr>
                <w:rFonts w:eastAsia="Calibri"/>
                <w:sz w:val="19"/>
              </w:rPr>
              <w:t>Prime de risque</w:t>
            </w:r>
          </w:p>
        </w:tc>
        <w:tc>
          <w:tcPr>
            <w:tcW w:w="6960" w:type="dxa"/>
            <w:tcMar>
              <w:top w:w="80" w:type="dxa"/>
              <w:left w:w="120" w:type="dxa"/>
              <w:bottom w:w="80" w:type="dxa"/>
              <w:right w:w="120" w:type="dxa"/>
            </w:tcMar>
            <w:vAlign w:val="center"/>
          </w:tcPr>
          <w:p w14:paraId="45C77BDB" w14:textId="77777777" w:rsidR="005A169D" w:rsidRDefault="00000000">
            <w:pPr>
              <w:spacing w:after="0" w:line="283" w:lineRule="auto"/>
              <w:jc w:val="left"/>
            </w:pPr>
            <w:r>
              <w:rPr>
                <w:rFonts w:eastAsia="Calibri"/>
                <w:sz w:val="19"/>
              </w:rPr>
              <w:t>Rendement ou décote supplémentaire exigé face à une incertitude.</w:t>
            </w:r>
          </w:p>
        </w:tc>
      </w:tr>
      <w:tr w:rsidR="005A169D" w14:paraId="5CD819BF" w14:textId="77777777">
        <w:tc>
          <w:tcPr>
            <w:tcW w:w="2400" w:type="dxa"/>
            <w:shd w:val="clear" w:color="auto" w:fill="FAFBFC"/>
            <w:tcMar>
              <w:top w:w="80" w:type="dxa"/>
              <w:left w:w="120" w:type="dxa"/>
              <w:bottom w:w="80" w:type="dxa"/>
              <w:right w:w="120" w:type="dxa"/>
            </w:tcMar>
            <w:vAlign w:val="center"/>
          </w:tcPr>
          <w:p w14:paraId="17F69C0C" w14:textId="77777777" w:rsidR="005A169D" w:rsidRDefault="00000000">
            <w:pPr>
              <w:spacing w:after="0" w:line="283" w:lineRule="auto"/>
              <w:jc w:val="left"/>
            </w:pPr>
            <w:r>
              <w:rPr>
                <w:rFonts w:eastAsia="Calibri"/>
                <w:sz w:val="19"/>
              </w:rPr>
              <w:t>Proxy</w:t>
            </w:r>
          </w:p>
        </w:tc>
        <w:tc>
          <w:tcPr>
            <w:tcW w:w="6960" w:type="dxa"/>
            <w:shd w:val="clear" w:color="auto" w:fill="FAFBFC"/>
            <w:tcMar>
              <w:top w:w="80" w:type="dxa"/>
              <w:left w:w="120" w:type="dxa"/>
              <w:bottom w:w="80" w:type="dxa"/>
              <w:right w:w="120" w:type="dxa"/>
            </w:tcMar>
            <w:vAlign w:val="center"/>
          </w:tcPr>
          <w:p w14:paraId="6ACD30DA" w14:textId="77777777" w:rsidR="005A169D" w:rsidRDefault="00000000">
            <w:pPr>
              <w:spacing w:after="0" w:line="283" w:lineRule="auto"/>
              <w:jc w:val="left"/>
            </w:pPr>
            <w:r>
              <w:rPr>
                <w:rFonts w:eastAsia="Calibri"/>
                <w:sz w:val="19"/>
              </w:rPr>
              <w:t>Indicateur utilisé pour représenter imparfaitement un phénomène difficile à mesurer.</w:t>
            </w:r>
          </w:p>
        </w:tc>
      </w:tr>
      <w:tr w:rsidR="005A169D" w14:paraId="7E96FA05" w14:textId="77777777">
        <w:tc>
          <w:tcPr>
            <w:tcW w:w="2400" w:type="dxa"/>
            <w:tcMar>
              <w:top w:w="80" w:type="dxa"/>
              <w:left w:w="120" w:type="dxa"/>
              <w:bottom w:w="80" w:type="dxa"/>
              <w:right w:w="120" w:type="dxa"/>
            </w:tcMar>
            <w:vAlign w:val="center"/>
          </w:tcPr>
          <w:p w14:paraId="6960ACA5" w14:textId="77777777" w:rsidR="005A169D" w:rsidRDefault="00000000">
            <w:pPr>
              <w:spacing w:after="0" w:line="283" w:lineRule="auto"/>
              <w:jc w:val="left"/>
            </w:pPr>
            <w:r>
              <w:rPr>
                <w:rFonts w:eastAsia="Calibri"/>
                <w:sz w:val="19"/>
              </w:rPr>
              <w:t>Sanction</w:t>
            </w:r>
          </w:p>
        </w:tc>
        <w:tc>
          <w:tcPr>
            <w:tcW w:w="6960" w:type="dxa"/>
            <w:tcMar>
              <w:top w:w="80" w:type="dxa"/>
              <w:left w:w="120" w:type="dxa"/>
              <w:bottom w:w="80" w:type="dxa"/>
              <w:right w:w="120" w:type="dxa"/>
            </w:tcMar>
            <w:vAlign w:val="center"/>
          </w:tcPr>
          <w:p w14:paraId="3CCC243D" w14:textId="77777777" w:rsidR="005A169D" w:rsidRDefault="00000000">
            <w:pPr>
              <w:spacing w:after="0" w:line="283" w:lineRule="auto"/>
              <w:jc w:val="left"/>
            </w:pPr>
            <w:r>
              <w:rPr>
                <w:rFonts w:eastAsia="Calibri"/>
                <w:sz w:val="19"/>
              </w:rPr>
              <w:t>Restriction juridique ou financière imposée à un pays, une entreprise ou une personne.</w:t>
            </w:r>
          </w:p>
        </w:tc>
      </w:tr>
      <w:tr w:rsidR="005A169D" w14:paraId="0BD21476" w14:textId="77777777">
        <w:tc>
          <w:tcPr>
            <w:tcW w:w="2400" w:type="dxa"/>
            <w:shd w:val="clear" w:color="auto" w:fill="FAFBFC"/>
            <w:tcMar>
              <w:top w:w="80" w:type="dxa"/>
              <w:left w:w="120" w:type="dxa"/>
              <w:bottom w:w="80" w:type="dxa"/>
              <w:right w:w="120" w:type="dxa"/>
            </w:tcMar>
            <w:vAlign w:val="center"/>
          </w:tcPr>
          <w:p w14:paraId="0102850F" w14:textId="77777777" w:rsidR="005A169D" w:rsidRDefault="00000000">
            <w:pPr>
              <w:spacing w:after="0" w:line="283" w:lineRule="auto"/>
              <w:jc w:val="left"/>
            </w:pPr>
            <w:r>
              <w:rPr>
                <w:rFonts w:eastAsia="Calibri"/>
                <w:sz w:val="19"/>
              </w:rPr>
              <w:t>Slippage</w:t>
            </w:r>
          </w:p>
        </w:tc>
        <w:tc>
          <w:tcPr>
            <w:tcW w:w="6960" w:type="dxa"/>
            <w:shd w:val="clear" w:color="auto" w:fill="FAFBFC"/>
            <w:tcMar>
              <w:top w:w="80" w:type="dxa"/>
              <w:left w:w="120" w:type="dxa"/>
              <w:bottom w:w="80" w:type="dxa"/>
              <w:right w:w="120" w:type="dxa"/>
            </w:tcMar>
            <w:vAlign w:val="center"/>
          </w:tcPr>
          <w:p w14:paraId="58B75203" w14:textId="77777777" w:rsidR="005A169D" w:rsidRDefault="00000000">
            <w:pPr>
              <w:spacing w:after="0" w:line="283" w:lineRule="auto"/>
              <w:jc w:val="left"/>
            </w:pPr>
            <w:r>
              <w:rPr>
                <w:rFonts w:eastAsia="Calibri"/>
                <w:sz w:val="19"/>
              </w:rPr>
              <w:t>Écart entre le prix prévu et le prix réel d'exécution.</w:t>
            </w:r>
          </w:p>
        </w:tc>
      </w:tr>
      <w:tr w:rsidR="005A169D" w14:paraId="3C9A90D4" w14:textId="77777777">
        <w:tc>
          <w:tcPr>
            <w:tcW w:w="2400" w:type="dxa"/>
            <w:tcMar>
              <w:top w:w="80" w:type="dxa"/>
              <w:left w:w="120" w:type="dxa"/>
              <w:bottom w:w="80" w:type="dxa"/>
              <w:right w:w="120" w:type="dxa"/>
            </w:tcMar>
            <w:vAlign w:val="center"/>
          </w:tcPr>
          <w:p w14:paraId="1567A9DE" w14:textId="77777777" w:rsidR="005A169D" w:rsidRDefault="00000000">
            <w:pPr>
              <w:spacing w:after="0" w:line="283" w:lineRule="auto"/>
              <w:jc w:val="left"/>
            </w:pPr>
            <w:r>
              <w:rPr>
                <w:rFonts w:eastAsia="Calibri"/>
                <w:sz w:val="19"/>
              </w:rPr>
              <w:t>Tarif douanier</w:t>
            </w:r>
          </w:p>
        </w:tc>
        <w:tc>
          <w:tcPr>
            <w:tcW w:w="6960" w:type="dxa"/>
            <w:tcMar>
              <w:top w:w="80" w:type="dxa"/>
              <w:left w:w="120" w:type="dxa"/>
              <w:bottom w:w="80" w:type="dxa"/>
              <w:right w:w="120" w:type="dxa"/>
            </w:tcMar>
            <w:vAlign w:val="center"/>
          </w:tcPr>
          <w:p w14:paraId="44EC6990" w14:textId="77777777" w:rsidR="005A169D" w:rsidRDefault="00000000">
            <w:pPr>
              <w:spacing w:after="0" w:line="283" w:lineRule="auto"/>
              <w:jc w:val="left"/>
            </w:pPr>
            <w:r>
              <w:rPr>
                <w:rFonts w:eastAsia="Calibri"/>
                <w:sz w:val="19"/>
              </w:rPr>
              <w:t>Taxe supplémentaire appliquée à une importation.</w:t>
            </w:r>
          </w:p>
        </w:tc>
      </w:tr>
      <w:tr w:rsidR="005A169D" w14:paraId="7F0FDD13" w14:textId="77777777">
        <w:tc>
          <w:tcPr>
            <w:tcW w:w="2400" w:type="dxa"/>
            <w:shd w:val="clear" w:color="auto" w:fill="FAFBFC"/>
            <w:tcMar>
              <w:top w:w="80" w:type="dxa"/>
              <w:left w:w="120" w:type="dxa"/>
              <w:bottom w:w="80" w:type="dxa"/>
              <w:right w:w="120" w:type="dxa"/>
            </w:tcMar>
            <w:vAlign w:val="center"/>
          </w:tcPr>
          <w:p w14:paraId="10B2F4DA" w14:textId="77777777" w:rsidR="005A169D" w:rsidRDefault="00000000">
            <w:pPr>
              <w:spacing w:after="0" w:line="283" w:lineRule="auto"/>
              <w:jc w:val="left"/>
            </w:pPr>
            <w:r>
              <w:rPr>
                <w:rFonts w:eastAsia="Calibri"/>
                <w:sz w:val="19"/>
              </w:rPr>
              <w:t>Contrôle à l'exportation</w:t>
            </w:r>
          </w:p>
        </w:tc>
        <w:tc>
          <w:tcPr>
            <w:tcW w:w="6960" w:type="dxa"/>
            <w:shd w:val="clear" w:color="auto" w:fill="FAFBFC"/>
            <w:tcMar>
              <w:top w:w="80" w:type="dxa"/>
              <w:left w:w="120" w:type="dxa"/>
              <w:bottom w:w="80" w:type="dxa"/>
              <w:right w:w="120" w:type="dxa"/>
            </w:tcMar>
            <w:vAlign w:val="center"/>
          </w:tcPr>
          <w:p w14:paraId="3C680EE3" w14:textId="77777777" w:rsidR="005A169D" w:rsidRDefault="00000000">
            <w:pPr>
              <w:spacing w:after="0" w:line="283" w:lineRule="auto"/>
              <w:jc w:val="left"/>
            </w:pPr>
            <w:r>
              <w:rPr>
                <w:rFonts w:eastAsia="Calibri"/>
                <w:sz w:val="19"/>
              </w:rPr>
              <w:t>Autorisation ou interdiction visant la vente d'un bien stratégique à l'étranger.</w:t>
            </w:r>
          </w:p>
        </w:tc>
      </w:tr>
      <w:tr w:rsidR="005A169D" w14:paraId="4E3AD244" w14:textId="77777777">
        <w:tc>
          <w:tcPr>
            <w:tcW w:w="2400" w:type="dxa"/>
            <w:tcMar>
              <w:top w:w="80" w:type="dxa"/>
              <w:left w:w="120" w:type="dxa"/>
              <w:bottom w:w="80" w:type="dxa"/>
              <w:right w:w="120" w:type="dxa"/>
            </w:tcMar>
            <w:vAlign w:val="center"/>
          </w:tcPr>
          <w:p w14:paraId="1EA10E1A" w14:textId="77777777" w:rsidR="005A169D" w:rsidRDefault="00000000">
            <w:pPr>
              <w:spacing w:after="0" w:line="283" w:lineRule="auto"/>
              <w:jc w:val="left"/>
            </w:pPr>
            <w:r>
              <w:rPr>
                <w:rFonts w:eastAsia="Calibri"/>
                <w:sz w:val="19"/>
              </w:rPr>
              <w:t>Contrôle des capitaux</w:t>
            </w:r>
          </w:p>
        </w:tc>
        <w:tc>
          <w:tcPr>
            <w:tcW w:w="6960" w:type="dxa"/>
            <w:tcMar>
              <w:top w:w="80" w:type="dxa"/>
              <w:left w:w="120" w:type="dxa"/>
              <w:bottom w:w="80" w:type="dxa"/>
              <w:right w:w="120" w:type="dxa"/>
            </w:tcMar>
            <w:vAlign w:val="center"/>
          </w:tcPr>
          <w:p w14:paraId="23A6BA03" w14:textId="77777777" w:rsidR="005A169D" w:rsidRDefault="00000000">
            <w:pPr>
              <w:spacing w:after="0" w:line="283" w:lineRule="auto"/>
              <w:jc w:val="left"/>
            </w:pPr>
            <w:r>
              <w:rPr>
                <w:rFonts w:eastAsia="Calibri"/>
                <w:sz w:val="19"/>
              </w:rPr>
              <w:t>Règles limitant les transferts, achats ou ventes de monnaie et d'actifs.</w:t>
            </w:r>
          </w:p>
        </w:tc>
      </w:tr>
      <w:tr w:rsidR="005A169D" w14:paraId="144693FC" w14:textId="77777777">
        <w:tc>
          <w:tcPr>
            <w:tcW w:w="2400" w:type="dxa"/>
            <w:shd w:val="clear" w:color="auto" w:fill="FAFBFC"/>
            <w:tcMar>
              <w:top w:w="80" w:type="dxa"/>
              <w:left w:w="120" w:type="dxa"/>
              <w:bottom w:w="80" w:type="dxa"/>
              <w:right w:w="120" w:type="dxa"/>
            </w:tcMar>
            <w:vAlign w:val="center"/>
          </w:tcPr>
          <w:p w14:paraId="41A157FD" w14:textId="77777777" w:rsidR="005A169D" w:rsidRDefault="00000000">
            <w:pPr>
              <w:spacing w:after="0" w:line="283" w:lineRule="auto"/>
              <w:jc w:val="left"/>
            </w:pPr>
            <w:r>
              <w:rPr>
                <w:rFonts w:eastAsia="Calibri"/>
                <w:sz w:val="19"/>
              </w:rPr>
              <w:t>Chokepoint</w:t>
            </w:r>
          </w:p>
        </w:tc>
        <w:tc>
          <w:tcPr>
            <w:tcW w:w="6960" w:type="dxa"/>
            <w:shd w:val="clear" w:color="auto" w:fill="FAFBFC"/>
            <w:tcMar>
              <w:top w:w="80" w:type="dxa"/>
              <w:left w:w="120" w:type="dxa"/>
              <w:bottom w:w="80" w:type="dxa"/>
              <w:right w:w="120" w:type="dxa"/>
            </w:tcMar>
            <w:vAlign w:val="center"/>
          </w:tcPr>
          <w:p w14:paraId="65B96438" w14:textId="77777777" w:rsidR="005A169D" w:rsidRDefault="00000000">
            <w:pPr>
              <w:spacing w:after="0" w:line="283" w:lineRule="auto"/>
              <w:jc w:val="left"/>
            </w:pPr>
            <w:r>
              <w:rPr>
                <w:rFonts w:eastAsia="Calibri"/>
                <w:sz w:val="19"/>
              </w:rPr>
              <w:t>Point de passage étroit où se concentre une part importante des flux.</w:t>
            </w:r>
          </w:p>
        </w:tc>
      </w:tr>
      <w:tr w:rsidR="005A169D" w14:paraId="5DA75375" w14:textId="77777777">
        <w:tc>
          <w:tcPr>
            <w:tcW w:w="2400" w:type="dxa"/>
            <w:tcMar>
              <w:top w:w="80" w:type="dxa"/>
              <w:left w:w="120" w:type="dxa"/>
              <w:bottom w:w="80" w:type="dxa"/>
              <w:right w:w="120" w:type="dxa"/>
            </w:tcMar>
            <w:vAlign w:val="center"/>
          </w:tcPr>
          <w:p w14:paraId="72A7E3A4" w14:textId="77777777" w:rsidR="005A169D" w:rsidRDefault="00000000">
            <w:pPr>
              <w:spacing w:after="0" w:line="283" w:lineRule="auto"/>
              <w:jc w:val="left"/>
            </w:pPr>
            <w:r>
              <w:rPr>
                <w:rFonts w:eastAsia="Calibri"/>
                <w:sz w:val="19"/>
              </w:rPr>
              <w:t>VIX</w:t>
            </w:r>
          </w:p>
        </w:tc>
        <w:tc>
          <w:tcPr>
            <w:tcW w:w="6960" w:type="dxa"/>
            <w:tcMar>
              <w:top w:w="80" w:type="dxa"/>
              <w:left w:w="120" w:type="dxa"/>
              <w:bottom w:w="80" w:type="dxa"/>
              <w:right w:w="120" w:type="dxa"/>
            </w:tcMar>
            <w:vAlign w:val="center"/>
          </w:tcPr>
          <w:p w14:paraId="2DD4F427" w14:textId="77777777" w:rsidR="005A169D" w:rsidRDefault="00000000">
            <w:pPr>
              <w:spacing w:after="0" w:line="283" w:lineRule="auto"/>
              <w:jc w:val="left"/>
            </w:pPr>
            <w:r>
              <w:rPr>
                <w:rFonts w:eastAsia="Calibri"/>
                <w:sz w:val="19"/>
              </w:rPr>
              <w:t>Indice Cboe de volatilité attendue à trente jours du S&amp;P 500 à partir des options.</w:t>
            </w:r>
          </w:p>
        </w:tc>
      </w:tr>
    </w:tbl>
    <w:p w14:paraId="7739A0CB" w14:textId="77777777" w:rsidR="005A169D" w:rsidRDefault="005A169D">
      <w:pPr>
        <w:spacing w:after="100"/>
      </w:pPr>
    </w:p>
    <w:p w14:paraId="78DA7E29" w14:textId="77777777" w:rsidR="005A169D" w:rsidRDefault="00000000">
      <w:pPr>
        <w:pStyle w:val="Titre1"/>
      </w:pPr>
      <w:r>
        <w:t>Sources et méthode</w:t>
      </w:r>
    </w:p>
    <w:p w14:paraId="7126D2D1" w14:textId="77777777" w:rsidR="005A169D" w:rsidRDefault="00000000">
      <w:r>
        <w:rPr>
          <w:rFonts w:eastAsia="Calibri"/>
        </w:rPr>
        <w:t>Les événements, dates et mécanismes ont été recoupés avec des sources officielles ou institutionnelles. Les dix graphiques de marché proviennent de captures du graphique public TradingView, réalisées le 22 juillet 2026. Le schéma de transmission est un visuel pédagogique original. Les traits et étiquettes orange ont été ajoutés uniquement pour repérer les dates étudiées ; les bougies et les données visibles restent celles de TradingView.</w:t>
      </w:r>
    </w:p>
    <w:p w14:paraId="797299BA" w14:textId="77777777" w:rsidR="005A169D" w:rsidRDefault="00000000">
      <w:pPr>
        <w:pStyle w:val="Titre2"/>
      </w:pPr>
      <w:r>
        <w:t>Institutions et documents de référence</w:t>
      </w:r>
    </w:p>
    <w:p w14:paraId="3C8073E0" w14:textId="77777777" w:rsidR="005A169D" w:rsidRDefault="00000000">
      <w:pPr>
        <w:spacing w:after="80"/>
      </w:pPr>
      <w:hyperlink r:id="rId56">
        <w:r>
          <w:rPr>
            <w:color w:val="2E74B5"/>
            <w:u w:val="single"/>
          </w:rPr>
          <w:t>FMI — Geopolitical Risks: Implications for Asset Prices and Financial Stability, 2025</w:t>
        </w:r>
      </w:hyperlink>
    </w:p>
    <w:p w14:paraId="26EA233B" w14:textId="77777777" w:rsidR="005A169D" w:rsidRDefault="00000000">
      <w:pPr>
        <w:spacing w:after="80"/>
      </w:pPr>
      <w:hyperlink r:id="rId57">
        <w:r>
          <w:rPr>
            <w:color w:val="2E74B5"/>
            <w:u w:val="single"/>
          </w:rPr>
          <w:t>FMI — Geopolitics and its Impact on Global Trade and the Dollar, 2024</w:t>
        </w:r>
      </w:hyperlink>
    </w:p>
    <w:p w14:paraId="7F565384" w14:textId="77777777" w:rsidR="005A169D" w:rsidRDefault="00000000">
      <w:pPr>
        <w:spacing w:after="80"/>
      </w:pPr>
      <w:hyperlink r:id="rId58">
        <w:r>
          <w:rPr>
            <w:color w:val="2E74B5"/>
            <w:u w:val="single"/>
          </w:rPr>
          <w:t>U.S. EIA — Le détroit d'Ormuz, point de passage critique du pétrole</w:t>
        </w:r>
      </w:hyperlink>
    </w:p>
    <w:p w14:paraId="2DCEDAED" w14:textId="77777777" w:rsidR="005A169D" w:rsidRDefault="00000000">
      <w:pPr>
        <w:spacing w:after="80"/>
      </w:pPr>
      <w:hyperlink r:id="rId59">
        <w:r>
          <w:rPr>
            <w:color w:val="2E74B5"/>
            <w:u w:val="single"/>
          </w:rPr>
          <w:t>U.S. EIA — Saudi Arabia crude oil production outage, 23 septembre 2019</w:t>
        </w:r>
      </w:hyperlink>
    </w:p>
    <w:p w14:paraId="73B18631" w14:textId="77777777" w:rsidR="005A169D" w:rsidRDefault="00000000">
      <w:pPr>
        <w:spacing w:after="80"/>
      </w:pPr>
      <w:hyperlink r:id="rId60">
        <w:r>
          <w:rPr>
            <w:color w:val="2E74B5"/>
            <w:u w:val="single"/>
          </w:rPr>
          <w:t>Electoral Commission — Résultats officiels du référendum de 2016</w:t>
        </w:r>
      </w:hyperlink>
    </w:p>
    <w:p w14:paraId="7C760CAB" w14:textId="77777777" w:rsidR="005A169D" w:rsidRDefault="00000000">
      <w:pPr>
        <w:spacing w:after="80"/>
      </w:pPr>
      <w:hyperlink r:id="rId61">
        <w:r>
          <w:rPr>
            <w:color w:val="2E74B5"/>
            <w:u w:val="single"/>
          </w:rPr>
          <w:t>Bank of England — EU withdrawal scenarios and monetary and financial stability</w:t>
        </w:r>
      </w:hyperlink>
    </w:p>
    <w:p w14:paraId="57D0FA86" w14:textId="77777777" w:rsidR="005A169D" w:rsidRDefault="00000000">
      <w:pPr>
        <w:spacing w:after="80"/>
      </w:pPr>
      <w:hyperlink r:id="rId62">
        <w:r>
          <w:rPr>
            <w:color w:val="2E74B5"/>
            <w:u w:val="single"/>
          </w:rPr>
          <w:t>USTR — Tarifs sur les produits chinois, 15 juin 2018</w:t>
        </w:r>
      </w:hyperlink>
    </w:p>
    <w:p w14:paraId="0727D102" w14:textId="77777777" w:rsidR="005A169D" w:rsidRDefault="00000000">
      <w:pPr>
        <w:spacing w:after="80"/>
      </w:pPr>
      <w:hyperlink r:id="rId63">
        <w:r>
          <w:rPr>
            <w:color w:val="2E74B5"/>
            <w:u w:val="single"/>
          </w:rPr>
          <w:t>USTR — Début des tarifs de 25 % sur 34 milliards de dollars d'importations, 10 juillet 2018</w:t>
        </w:r>
      </w:hyperlink>
    </w:p>
    <w:p w14:paraId="1D89E38A" w14:textId="77777777" w:rsidR="005A169D" w:rsidRDefault="00000000">
      <w:pPr>
        <w:spacing w:after="80"/>
      </w:pPr>
      <w:hyperlink r:id="rId64">
        <w:r>
          <w:rPr>
            <w:color w:val="2E74B5"/>
            <w:u w:val="single"/>
          </w:rPr>
          <w:t>USTR — Tarifs sur 200 milliards de dollars d'importations, 18 septembre 2018</w:t>
        </w:r>
      </w:hyperlink>
    </w:p>
    <w:p w14:paraId="4DEAE63F" w14:textId="77777777" w:rsidR="005A169D" w:rsidRDefault="00000000">
      <w:pPr>
        <w:spacing w:after="80"/>
      </w:pPr>
      <w:hyperlink r:id="rId65">
        <w:r>
          <w:rPr>
            <w:color w:val="2E74B5"/>
            <w:u w:val="single"/>
          </w:rPr>
          <w:t>Nations unies — Résolution de l'Assemblée générale sur l'invasion de l'Ukraine, 2 mars 2022</w:t>
        </w:r>
      </w:hyperlink>
    </w:p>
    <w:p w14:paraId="478FD2CE" w14:textId="77777777" w:rsidR="005A169D" w:rsidRDefault="00000000">
      <w:pPr>
        <w:spacing w:after="80"/>
      </w:pPr>
      <w:hyperlink r:id="rId66">
        <w:r>
          <w:rPr>
            <w:color w:val="2E74B5"/>
            <w:u w:val="single"/>
          </w:rPr>
          <w:t>Banque mondiale — Food and Energy Price Shocks from Ukraine War, 26 avril 2022</w:t>
        </w:r>
      </w:hyperlink>
    </w:p>
    <w:p w14:paraId="73971375" w14:textId="77777777" w:rsidR="005A169D" w:rsidRDefault="00000000">
      <w:pPr>
        <w:spacing w:after="80"/>
      </w:pPr>
      <w:hyperlink r:id="rId67">
        <w:r>
          <w:rPr>
            <w:color w:val="2E74B5"/>
            <w:u w:val="single"/>
          </w:rPr>
          <w:t>U.S. Treasury — Sanctions contre la Russie, 24 février 2022</w:t>
        </w:r>
      </w:hyperlink>
    </w:p>
    <w:p w14:paraId="05D25B8E" w14:textId="77777777" w:rsidR="005A169D" w:rsidRDefault="00000000">
      <w:pPr>
        <w:spacing w:after="80"/>
      </w:pPr>
      <w:hyperlink r:id="rId68">
        <w:r>
          <w:rPr>
            <w:color w:val="2E74B5"/>
            <w:u w:val="single"/>
          </w:rPr>
          <w:t>U.S. Treasury — Restrictions visant la Banque centrale de Russie, 28 février 2022</w:t>
        </w:r>
      </w:hyperlink>
    </w:p>
    <w:p w14:paraId="720F075D" w14:textId="77777777" w:rsidR="005A169D" w:rsidRDefault="00000000">
      <w:pPr>
        <w:spacing w:after="80"/>
      </w:pPr>
      <w:hyperlink r:id="rId69">
        <w:r>
          <w:rPr>
            <w:color w:val="2E74B5"/>
            <w:u w:val="single"/>
          </w:rPr>
          <w:t>U.S. BIS — Contrôles sur les semi-conducteurs avancés, 7 octobre 2022</w:t>
        </w:r>
      </w:hyperlink>
    </w:p>
    <w:p w14:paraId="459A5E24" w14:textId="77777777" w:rsidR="005A169D" w:rsidRDefault="00000000">
      <w:pPr>
        <w:spacing w:after="80"/>
      </w:pPr>
      <w:hyperlink r:id="rId70">
        <w:r>
          <w:rPr>
            <w:color w:val="2E74B5"/>
            <w:u w:val="single"/>
          </w:rPr>
          <w:t>CNUCED — Navigating troubled waters: Red Sea, Black Sea and Panama Canal, 2024</w:t>
        </w:r>
      </w:hyperlink>
    </w:p>
    <w:p w14:paraId="4E1A5F86" w14:textId="77777777" w:rsidR="005A169D" w:rsidRDefault="00000000">
      <w:pPr>
        <w:spacing w:after="80"/>
      </w:pPr>
      <w:hyperlink r:id="rId71">
        <w:r>
          <w:rPr>
            <w:color w:val="2E74B5"/>
            <w:u w:val="single"/>
          </w:rPr>
          <w:t>CNUCED — Suez and Panama Canal disruptions threaten global trade, 22 octobre 2024</w:t>
        </w:r>
      </w:hyperlink>
    </w:p>
    <w:p w14:paraId="64CF665A" w14:textId="77777777" w:rsidR="005A169D" w:rsidRDefault="00000000">
      <w:pPr>
        <w:spacing w:after="80"/>
      </w:pPr>
      <w:hyperlink r:id="rId72">
        <w:r>
          <w:rPr>
            <w:color w:val="2E74B5"/>
            <w:u w:val="single"/>
          </w:rPr>
          <w:t>Baltic Exchange — Définition officielle du Baltic Dry Index</w:t>
        </w:r>
      </w:hyperlink>
    </w:p>
    <w:p w14:paraId="03968043" w14:textId="77777777" w:rsidR="005A169D" w:rsidRDefault="00000000">
      <w:pPr>
        <w:spacing w:after="80"/>
      </w:pPr>
      <w:hyperlink r:id="rId73">
        <w:r>
          <w:rPr>
            <w:color w:val="2E74B5"/>
            <w:u w:val="single"/>
          </w:rPr>
          <w:t>Cboe — Définition officielle du VIX</w:t>
        </w:r>
      </w:hyperlink>
    </w:p>
    <w:p w14:paraId="3FC33D97" w14:textId="77777777" w:rsidR="005A169D" w:rsidRDefault="00000000">
      <w:pPr>
        <w:pStyle w:val="Titre2"/>
      </w:pPr>
      <w:r>
        <w:t>Graphiques TradingView</w:t>
      </w:r>
    </w:p>
    <w:p w14:paraId="401EACFC" w14:textId="77777777" w:rsidR="005A169D" w:rsidRDefault="00000000">
      <w:pPr>
        <w:spacing w:after="80"/>
      </w:pPr>
      <w:hyperlink r:id="rId74">
        <w:r>
          <w:rPr>
            <w:color w:val="2E74B5"/>
            <w:u w:val="single"/>
          </w:rPr>
          <w:t>TradingView — GBP/USD (FX:GBPUSD)</w:t>
        </w:r>
      </w:hyperlink>
    </w:p>
    <w:p w14:paraId="73DF254C" w14:textId="77777777" w:rsidR="005A169D" w:rsidRDefault="00000000">
      <w:pPr>
        <w:spacing w:after="80"/>
      </w:pPr>
      <w:hyperlink r:id="rId75">
        <w:r>
          <w:rPr>
            <w:color w:val="2E74B5"/>
            <w:u w:val="single"/>
          </w:rPr>
          <w:t>TradingView — Brent (TVC:UKOIL)</w:t>
        </w:r>
      </w:hyperlink>
    </w:p>
    <w:p w14:paraId="52A6C813" w14:textId="77777777" w:rsidR="005A169D" w:rsidRDefault="00000000">
      <w:pPr>
        <w:spacing w:after="80"/>
      </w:pPr>
      <w:hyperlink r:id="rId76">
        <w:r>
          <w:rPr>
            <w:color w:val="2E74B5"/>
            <w:u w:val="single"/>
          </w:rPr>
          <w:t>TradingView — USD/CNH (FX_IDC:USDCNH)</w:t>
        </w:r>
      </w:hyperlink>
    </w:p>
    <w:p w14:paraId="6356574B" w14:textId="77777777" w:rsidR="005A169D" w:rsidRDefault="00000000">
      <w:pPr>
        <w:spacing w:after="80"/>
      </w:pPr>
      <w:hyperlink r:id="rId77">
        <w:r>
          <w:rPr>
            <w:color w:val="2E74B5"/>
            <w:u w:val="single"/>
          </w:rPr>
          <w:t>TradingView — Wheat Futures (CBOT:ZW1!)</w:t>
        </w:r>
      </w:hyperlink>
    </w:p>
    <w:p w14:paraId="025FC2A6" w14:textId="77777777" w:rsidR="005A169D" w:rsidRDefault="00000000">
      <w:pPr>
        <w:spacing w:after="80"/>
      </w:pPr>
      <w:hyperlink r:id="rId78">
        <w:r>
          <w:rPr>
            <w:color w:val="2E74B5"/>
            <w:u w:val="single"/>
          </w:rPr>
          <w:t>TradingView — Gold Spot / U.S. Dollar (OANDA:XAUUSD)</w:t>
        </w:r>
      </w:hyperlink>
    </w:p>
    <w:p w14:paraId="2EBB0B16" w14:textId="77777777" w:rsidR="005A169D" w:rsidRDefault="00000000">
      <w:pPr>
        <w:spacing w:after="80"/>
      </w:pPr>
      <w:hyperlink r:id="rId79">
        <w:r>
          <w:rPr>
            <w:color w:val="2E74B5"/>
            <w:u w:val="single"/>
          </w:rPr>
          <w:t>TradingView — Cboe Volatility Index (CBOE:VIX)</w:t>
        </w:r>
      </w:hyperlink>
    </w:p>
    <w:p w14:paraId="58A507FC" w14:textId="77777777" w:rsidR="005A169D" w:rsidRDefault="00000000">
      <w:pPr>
        <w:spacing w:after="80"/>
      </w:pPr>
      <w:hyperlink r:id="rId80">
        <w:r>
          <w:rPr>
            <w:color w:val="2E74B5"/>
            <w:u w:val="single"/>
          </w:rPr>
          <w:t>TradingView — USD/RUB (FX_IDC:USDRUB)</w:t>
        </w:r>
      </w:hyperlink>
    </w:p>
    <w:p w14:paraId="4E3039D8" w14:textId="77777777" w:rsidR="005A169D" w:rsidRDefault="00000000">
      <w:pPr>
        <w:spacing w:after="80"/>
      </w:pPr>
      <w:hyperlink r:id="rId81">
        <w:r>
          <w:rPr>
            <w:color w:val="2E74B5"/>
            <w:u w:val="single"/>
          </w:rPr>
          <w:t>TradingView — Philadelphia Semiconductor Index (NASDAQ:SOX)</w:t>
        </w:r>
      </w:hyperlink>
    </w:p>
    <w:p w14:paraId="2B27F181" w14:textId="77777777" w:rsidR="005A169D" w:rsidRDefault="00000000">
      <w:pPr>
        <w:spacing w:after="80"/>
      </w:pPr>
      <w:hyperlink r:id="rId82">
        <w:r>
          <w:rPr>
            <w:color w:val="2E74B5"/>
            <w:u w:val="single"/>
          </w:rPr>
          <w:t>TradingView — Baltic Dry Index (INDEX:BDI)</w:t>
        </w:r>
      </w:hyperlink>
    </w:p>
    <w:p w14:paraId="3668BA21" w14:textId="77777777" w:rsidR="005A169D" w:rsidRDefault="00000000">
      <w:pPr>
        <w:keepLines/>
        <w:pBdr>
          <w:left w:val="single" w:sz="18" w:space="8" w:color="A61B1B"/>
        </w:pBdr>
        <w:shd w:val="clear" w:color="auto" w:fill="FCEDED"/>
        <w:spacing w:before="100" w:after="200" w:line="288" w:lineRule="auto"/>
        <w:ind w:left="173" w:right="115"/>
      </w:pPr>
      <w:r>
        <w:rPr>
          <w:rFonts w:eastAsia="Calibri"/>
          <w:b/>
          <w:color w:val="A61B1B"/>
          <w:sz w:val="20"/>
        </w:rPr>
        <w:t xml:space="preserve">AVERTISSEMENT PÉDAGOGIQUE  </w:t>
      </w:r>
      <w:r>
        <w:rPr>
          <w:rFonts w:eastAsia="Calibri"/>
          <w:sz w:val="21"/>
        </w:rPr>
        <w:t>Ce document explique des mécanismes généraux et des cas historiques. Il ne tient pas compte de la situation financière, de la fiscalité ou de la tolérance au risque d'une personne et ne constitue pas une recommandation d'achat ou de vente.</w:t>
      </w:r>
    </w:p>
    <w:sectPr w:rsidR="005A169D" w:rsidSect="00034616">
      <w:headerReference w:type="default" r:id="rId83"/>
      <w:footerReference w:type="default" r:id="rId8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A3DA" w14:textId="77777777" w:rsidR="00C36D28" w:rsidRDefault="00C36D28">
      <w:pPr>
        <w:spacing w:after="0" w:line="240" w:lineRule="auto"/>
      </w:pPr>
      <w:r>
        <w:separator/>
      </w:r>
    </w:p>
  </w:endnote>
  <w:endnote w:type="continuationSeparator" w:id="0">
    <w:p w14:paraId="089123F3" w14:textId="77777777" w:rsidR="00C36D28" w:rsidRDefault="00C36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1F49" w14:textId="77777777" w:rsidR="005A169D" w:rsidRDefault="00000000">
    <w:pPr>
      <w:pStyle w:val="Pieddepage"/>
      <w:jc w:val="right"/>
    </w:pPr>
    <w:r>
      <w:rPr>
        <w:rFonts w:eastAsia="Calibri"/>
        <w:color w:val="667085"/>
        <w:sz w:val="17"/>
      </w:rPr>
      <w:t xml:space="preserve">PAGE </w:t>
    </w:r>
    <w:r>
      <w:rPr>
        <w:rFonts w:eastAsia="Calibri"/>
        <w:color w:val="667085"/>
        <w:sz w:val="17"/>
      </w:rPr>
      <w:fldChar w:fldCharType="begin"/>
    </w:r>
    <w:r>
      <w:rPr>
        <w:rFonts w:eastAsia="Calibri"/>
        <w:color w:val="667085"/>
        <w:sz w:val="17"/>
      </w:rPr>
      <w:instrText>PAGE</w:instrText>
    </w:r>
    <w:r>
      <w:rPr>
        <w:rFonts w:eastAsia="Calibri"/>
        <w:color w:val="667085"/>
        <w:sz w:val="17"/>
      </w:rPr>
      <w:fldChar w:fldCharType="separate"/>
    </w:r>
    <w:r>
      <w:rPr>
        <w:rFonts w:eastAsia="Calibri"/>
        <w:color w:val="667085"/>
        <w:sz w:val="17"/>
      </w:rPr>
      <w:t>1</w:t>
    </w:r>
    <w:r>
      <w:rPr>
        <w:rFonts w:eastAsia="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151D" w14:textId="77777777" w:rsidR="00C36D28" w:rsidRDefault="00C36D28">
      <w:pPr>
        <w:spacing w:after="0" w:line="240" w:lineRule="auto"/>
      </w:pPr>
      <w:r>
        <w:separator/>
      </w:r>
    </w:p>
  </w:footnote>
  <w:footnote w:type="continuationSeparator" w:id="0">
    <w:p w14:paraId="6218AE06" w14:textId="77777777" w:rsidR="00C36D28" w:rsidRDefault="00C36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44F6" w14:textId="77777777" w:rsidR="005A169D" w:rsidRDefault="00000000">
    <w:pPr>
      <w:pBdr>
        <w:bottom w:val="single" w:sz="6" w:space="4" w:color="D4DCE6"/>
      </w:pBdr>
      <w:tabs>
        <w:tab w:val="right" w:pos="9360"/>
      </w:tabs>
      <w:spacing w:after="40"/>
    </w:pPr>
    <w:r>
      <w:rPr>
        <w:rFonts w:eastAsia="Calibri"/>
        <w:b/>
        <w:color w:val="667085"/>
        <w:sz w:val="17"/>
      </w:rPr>
      <w:t>FORMATION INVESTISSEMENT &amp; TRADING</w:t>
    </w:r>
    <w:r>
      <w:rPr>
        <w:rFonts w:eastAsia="Calibri"/>
        <w:b/>
        <w:color w:val="667085"/>
        <w:sz w:val="17"/>
      </w:rPr>
      <w:tab/>
      <w:t>VOLUME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C03AC5"/>
    <w:multiLevelType w:val="singleLevel"/>
    <w:tmpl w:val="AD7E4848"/>
    <w:lvl w:ilvl="0">
      <w:start w:val="1"/>
      <w:numFmt w:val="decimal"/>
      <w:lvlText w:val="%1."/>
      <w:lvlJc w:val="left"/>
      <w:pPr>
        <w:tabs>
          <w:tab w:val="num" w:pos="540"/>
        </w:tabs>
        <w:ind w:left="540" w:hanging="280"/>
      </w:pPr>
    </w:lvl>
  </w:abstractNum>
  <w:abstractNum w:abstractNumId="10" w15:restartNumberingAfterBreak="0">
    <w:nsid w:val="0A435725"/>
    <w:multiLevelType w:val="singleLevel"/>
    <w:tmpl w:val="B756D104"/>
    <w:lvl w:ilvl="0">
      <w:start w:val="1"/>
      <w:numFmt w:val="decimal"/>
      <w:lvlText w:val="%1."/>
      <w:lvlJc w:val="left"/>
      <w:pPr>
        <w:tabs>
          <w:tab w:val="num" w:pos="540"/>
        </w:tabs>
        <w:ind w:left="540" w:hanging="280"/>
      </w:pPr>
    </w:lvl>
  </w:abstractNum>
  <w:abstractNum w:abstractNumId="11" w15:restartNumberingAfterBreak="0">
    <w:nsid w:val="0CB83135"/>
    <w:multiLevelType w:val="singleLevel"/>
    <w:tmpl w:val="EE1439EA"/>
    <w:lvl w:ilvl="0">
      <w:start w:val="1"/>
      <w:numFmt w:val="decimal"/>
      <w:lvlText w:val="%1."/>
      <w:lvlJc w:val="left"/>
      <w:pPr>
        <w:tabs>
          <w:tab w:val="num" w:pos="540"/>
        </w:tabs>
        <w:ind w:left="540" w:hanging="280"/>
      </w:pPr>
    </w:lvl>
  </w:abstractNum>
  <w:abstractNum w:abstractNumId="12" w15:restartNumberingAfterBreak="0">
    <w:nsid w:val="2C0C163B"/>
    <w:multiLevelType w:val="singleLevel"/>
    <w:tmpl w:val="30FC7BF6"/>
    <w:lvl w:ilvl="0">
      <w:start w:val="1"/>
      <w:numFmt w:val="decimal"/>
      <w:lvlText w:val="%1."/>
      <w:lvlJc w:val="left"/>
      <w:pPr>
        <w:tabs>
          <w:tab w:val="num" w:pos="540"/>
        </w:tabs>
        <w:ind w:left="540" w:hanging="280"/>
      </w:pPr>
    </w:lvl>
  </w:abstractNum>
  <w:abstractNum w:abstractNumId="13" w15:restartNumberingAfterBreak="0">
    <w:nsid w:val="35C804C3"/>
    <w:multiLevelType w:val="singleLevel"/>
    <w:tmpl w:val="952432EC"/>
    <w:lvl w:ilvl="0">
      <w:start w:val="1"/>
      <w:numFmt w:val="bullet"/>
      <w:lvlText w:val="•"/>
      <w:lvlJc w:val="left"/>
      <w:pPr>
        <w:tabs>
          <w:tab w:val="num" w:pos="540"/>
        </w:tabs>
        <w:ind w:left="540" w:hanging="280"/>
      </w:pPr>
    </w:lvl>
  </w:abstractNum>
  <w:abstractNum w:abstractNumId="14" w15:restartNumberingAfterBreak="0">
    <w:nsid w:val="42810E02"/>
    <w:multiLevelType w:val="singleLevel"/>
    <w:tmpl w:val="1CB0CF22"/>
    <w:lvl w:ilvl="0">
      <w:start w:val="1"/>
      <w:numFmt w:val="decimal"/>
      <w:pStyle w:val="Listepuces"/>
      <w:lvlText w:val="%1."/>
      <w:lvlJc w:val="left"/>
      <w:pPr>
        <w:tabs>
          <w:tab w:val="num" w:pos="540"/>
        </w:tabs>
        <w:ind w:left="540" w:hanging="280"/>
      </w:pPr>
    </w:lvl>
  </w:abstractNum>
  <w:abstractNum w:abstractNumId="15" w15:restartNumberingAfterBreak="0">
    <w:nsid w:val="5437044E"/>
    <w:multiLevelType w:val="singleLevel"/>
    <w:tmpl w:val="980C881E"/>
    <w:lvl w:ilvl="0">
      <w:start w:val="1"/>
      <w:numFmt w:val="bullet"/>
      <w:lvlText w:val="✓"/>
      <w:lvlJc w:val="left"/>
      <w:pPr>
        <w:tabs>
          <w:tab w:val="num" w:pos="540"/>
        </w:tabs>
        <w:ind w:left="540" w:hanging="280"/>
      </w:pPr>
    </w:lvl>
  </w:abstractNum>
  <w:abstractNum w:abstractNumId="16" w15:restartNumberingAfterBreak="0">
    <w:nsid w:val="544D673C"/>
    <w:multiLevelType w:val="singleLevel"/>
    <w:tmpl w:val="4EA4716A"/>
    <w:lvl w:ilvl="0">
      <w:start w:val="1"/>
      <w:numFmt w:val="decimal"/>
      <w:lvlText w:val="%1."/>
      <w:lvlJc w:val="left"/>
      <w:pPr>
        <w:tabs>
          <w:tab w:val="num" w:pos="540"/>
        </w:tabs>
        <w:ind w:left="540" w:hanging="280"/>
      </w:pPr>
    </w:lvl>
  </w:abstractNum>
  <w:abstractNum w:abstractNumId="17" w15:restartNumberingAfterBreak="0">
    <w:nsid w:val="6AAC2350"/>
    <w:multiLevelType w:val="singleLevel"/>
    <w:tmpl w:val="B88EB15C"/>
    <w:lvl w:ilvl="0">
      <w:start w:val="1"/>
      <w:numFmt w:val="decimal"/>
      <w:lvlText w:val="%1."/>
      <w:lvlJc w:val="left"/>
      <w:pPr>
        <w:tabs>
          <w:tab w:val="num" w:pos="700"/>
        </w:tabs>
        <w:ind w:left="700" w:hanging="340"/>
      </w:pPr>
    </w:lvl>
  </w:abstractNum>
  <w:abstractNum w:abstractNumId="18" w15:restartNumberingAfterBreak="0">
    <w:nsid w:val="7E195DE8"/>
    <w:multiLevelType w:val="singleLevel"/>
    <w:tmpl w:val="BBC02950"/>
    <w:lvl w:ilvl="0">
      <w:start w:val="1"/>
      <w:numFmt w:val="decimal"/>
      <w:lvlText w:val="%1."/>
      <w:lvlJc w:val="left"/>
      <w:pPr>
        <w:tabs>
          <w:tab w:val="num" w:pos="540"/>
        </w:tabs>
        <w:ind w:left="540" w:hanging="280"/>
      </w:pPr>
    </w:lvl>
  </w:abstractNum>
  <w:num w:numId="1" w16cid:durableId="672076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69D"/>
    <w:rsid w:val="0087072F"/>
    <w:rsid w:val="00AA1D8D"/>
    <w:rsid w:val="00B47730"/>
    <w:rsid w:val="00C36D28"/>
    <w:rsid w:val="00CB0664"/>
    <w:rsid w:val="00D74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F1D83"/>
  <w14:defaultImageDpi w14:val="300"/>
  <w15:docId w15:val="{101BDC5A-7DC8-4EA1-8E39-3831162B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C2430"/>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tabs>
        <w:tab w:val="num" w:pos="360"/>
      </w:tabs>
      <w:contextualSpacing/>
    </w:pPr>
  </w:style>
  <w:style w:type="paragraph" w:styleId="Listepuces3">
    <w:name w:val="List Bullet 3"/>
    <w:basedOn w:val="Normal"/>
    <w:uiPriority w:val="99"/>
    <w:unhideWhenUsed/>
    <w:rsid w:val="00326F90"/>
    <w:pPr>
      <w:tabs>
        <w:tab w:val="num" w:pos="360"/>
      </w:tabs>
      <w:contextualSpacing/>
    </w:pPr>
  </w:style>
  <w:style w:type="paragraph" w:styleId="Listenumros">
    <w:name w:val="List Number"/>
    <w:basedOn w:val="Normal"/>
    <w:uiPriority w:val="99"/>
    <w:unhideWhenUsed/>
    <w:rsid w:val="00326F90"/>
    <w:pPr>
      <w:tabs>
        <w:tab w:val="num" w:pos="360"/>
      </w:tabs>
      <w:contextualSpacing/>
    </w:pPr>
  </w:style>
  <w:style w:type="paragraph" w:styleId="Listenumros2">
    <w:name w:val="List Number 2"/>
    <w:basedOn w:val="Normal"/>
    <w:uiPriority w:val="99"/>
    <w:unhideWhenUsed/>
    <w:rsid w:val="0029639D"/>
    <w:pPr>
      <w:tabs>
        <w:tab w:val="num" w:pos="360"/>
      </w:tabs>
      <w:contextualSpacing/>
    </w:pPr>
  </w:style>
  <w:style w:type="paragraph" w:styleId="Listenumros3">
    <w:name w:val="List Number 3"/>
    <w:basedOn w:val="Normal"/>
    <w:uiPriority w:val="99"/>
    <w:unhideWhenUsed/>
    <w:rsid w:val="0029639D"/>
    <w:pPr>
      <w:tabs>
        <w:tab w:val="num" w:pos="360"/>
      </w:tabs>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tr.gov/about-us/policy-offices/press-office/press-releases/2018/june/ustr-issues-tariffs-chinese-products" TargetMode="External"/><Relationship Id="rId21" Type="http://schemas.openxmlformats.org/officeDocument/2006/relationships/image" Target="media/image3.jpg"/><Relationship Id="rId42" Type="http://schemas.openxmlformats.org/officeDocument/2006/relationships/hyperlink" Target="https://www.imf.org/-/media/files/publications/gfsr/2025/april/english/ch2.pdf" TargetMode="External"/><Relationship Id="rId47" Type="http://schemas.openxmlformats.org/officeDocument/2006/relationships/image" Target="media/image10.jpg"/><Relationship Id="rId63" Type="http://schemas.openxmlformats.org/officeDocument/2006/relationships/hyperlink" Target="https://ustr.gov/about-us/policy-offices/press-office/press-releases/2018/july/statement-us-trade-representative" TargetMode="External"/><Relationship Id="rId68" Type="http://schemas.openxmlformats.org/officeDocument/2006/relationships/hyperlink" Target="https://home.treasury.gov/news/press-releases/jy0612" TargetMode="External"/><Relationship Id="rId84" Type="http://schemas.openxmlformats.org/officeDocument/2006/relationships/footer" Target="footer1.xml"/><Relationship Id="rId16" Type="http://schemas.openxmlformats.org/officeDocument/2006/relationships/hyperlink" Target="https://www.imf.org/-/media/files/publications/gfsr/2025/april/english/ch2.pdf" TargetMode="External"/><Relationship Id="rId11" Type="http://schemas.openxmlformats.org/officeDocument/2006/relationships/hyperlink" Target="https://www.imf.org/en/news/articles/2024/05/07/sp-geopolitics-impact-global-trade-and-dollar-gita-gopinath" TargetMode="External"/><Relationship Id="rId32" Type="http://schemas.openxmlformats.org/officeDocument/2006/relationships/hyperlink" Target="https://www.worldbank.org/en/news/press-release/2022/04/26/food-and-energy-price-shocks-from-ukraine-war" TargetMode="External"/><Relationship Id="rId37" Type="http://schemas.openxmlformats.org/officeDocument/2006/relationships/hyperlink" Target="https://www.tradingview.com/chart/?symbol=OANDA%3AXAUUSD" TargetMode="External"/><Relationship Id="rId53" Type="http://schemas.openxmlformats.org/officeDocument/2006/relationships/hyperlink" Target="https://unctad.org/system/files/official-document/osginf2024d2_en.pdf" TargetMode="External"/><Relationship Id="rId58" Type="http://schemas.openxmlformats.org/officeDocument/2006/relationships/hyperlink" Target="https://www.eia.gov/todayinenergy/detail.php?id=65504" TargetMode="External"/><Relationship Id="rId74" Type="http://schemas.openxmlformats.org/officeDocument/2006/relationships/hyperlink" Target="https://www.tradingview.com/chart/?symbol=FX%3AGBPUSD" TargetMode="External"/><Relationship Id="rId79" Type="http://schemas.openxmlformats.org/officeDocument/2006/relationships/hyperlink" Target="https://www.tradingview.com/chart/?symbol=CBOE%3AVIX" TargetMode="External"/><Relationship Id="rId5" Type="http://schemas.openxmlformats.org/officeDocument/2006/relationships/webSettings" Target="webSettings.xml"/><Relationship Id="rId19" Type="http://schemas.openxmlformats.org/officeDocument/2006/relationships/hyperlink" Target="https://www.electoralcommission.org.uk/research-reports-and-data/our-reports-and-data-past-elections-and-referendums/results-and-turnout-eu-referendum" TargetMode="External"/><Relationship Id="rId14" Type="http://schemas.openxmlformats.org/officeDocument/2006/relationships/hyperlink" Target="https://www.imf.org/en/news/articles/2024/05/07/sp-geopolitics-impact-global-trade-and-dollar-gita-gopinath" TargetMode="External"/><Relationship Id="rId22" Type="http://schemas.openxmlformats.org/officeDocument/2006/relationships/hyperlink" Target="https://www.tradingview.com/chart/?symbol=TVC%3AUKOIL" TargetMode="External"/><Relationship Id="rId27" Type="http://schemas.openxmlformats.org/officeDocument/2006/relationships/hyperlink" Target="https://ustr.gov/about-us/policy-offices/press-office/press-releases/2018/july/statement-us-trade-representative" TargetMode="External"/><Relationship Id="rId30" Type="http://schemas.openxmlformats.org/officeDocument/2006/relationships/hyperlink" Target="https://www.tradingview.com/chart/?symbol=TVC%3AUKOIL" TargetMode="External"/><Relationship Id="rId35" Type="http://schemas.openxmlformats.org/officeDocument/2006/relationships/hyperlink" Target="https://www.worldbank.org/en/news/press-release/2022/04/26/food-and-energy-price-shocks-from-ukraine-war" TargetMode="External"/><Relationship Id="rId43" Type="http://schemas.openxmlformats.org/officeDocument/2006/relationships/image" Target="media/image9.jpg"/><Relationship Id="rId48" Type="http://schemas.openxmlformats.org/officeDocument/2006/relationships/hyperlink" Target="https://www.tradingview.com/chart/?symbol=NASDAQ%3ASOX" TargetMode="External"/><Relationship Id="rId56" Type="http://schemas.openxmlformats.org/officeDocument/2006/relationships/hyperlink" Target="https://www.imf.org/-/media/files/publications/gfsr/2025/april/english/ch2.pdf" TargetMode="External"/><Relationship Id="rId64" Type="http://schemas.openxmlformats.org/officeDocument/2006/relationships/hyperlink" Target="https://ustr.gov/about-us/policy-offices/press-office/press-releases/2018/september/ustr-finalizes-tariffs-200" TargetMode="External"/><Relationship Id="rId69" Type="http://schemas.openxmlformats.org/officeDocument/2006/relationships/hyperlink" Target="https://www.bis.gov/press-release/commerce-implements-new-export-controls-advanced-computing-semiconductor-manufacturing-items-peoples" TargetMode="External"/><Relationship Id="rId77" Type="http://schemas.openxmlformats.org/officeDocument/2006/relationships/hyperlink" Target="https://www.tradingview.com/chart/?symbol=CBOT%3AZW1%21" TargetMode="External"/><Relationship Id="rId8" Type="http://schemas.openxmlformats.org/officeDocument/2006/relationships/hyperlink" Target="https://www.imf.org/-/media/files/publications/gfsr/2025/april/english/ch2.pdf" TargetMode="External"/><Relationship Id="rId51" Type="http://schemas.openxmlformats.org/officeDocument/2006/relationships/hyperlink" Target="https://www.tradingview.com/chart/?symbol=INDEX%3ABDI" TargetMode="External"/><Relationship Id="rId72" Type="http://schemas.openxmlformats.org/officeDocument/2006/relationships/hyperlink" Target="https://www.balticexchange.com/en/data-services/market-information0/indices.html" TargetMode="External"/><Relationship Id="rId80" Type="http://schemas.openxmlformats.org/officeDocument/2006/relationships/hyperlink" Target="https://www.tradingview.com/chart/?symbol=FX_IDC%3AUSDRUB"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jpg"/><Relationship Id="rId25" Type="http://schemas.openxmlformats.org/officeDocument/2006/relationships/hyperlink" Target="https://www.tradingview.com/chart/?symbol=FX_IDC%3AUSDCNH" TargetMode="External"/><Relationship Id="rId33" Type="http://schemas.openxmlformats.org/officeDocument/2006/relationships/image" Target="media/image6.jpg"/><Relationship Id="rId38" Type="http://schemas.openxmlformats.org/officeDocument/2006/relationships/hyperlink" Target="https://www.imf.org/-/media/files/publications/gfsr/2025/april/english/ch2.pdf" TargetMode="External"/><Relationship Id="rId46" Type="http://schemas.openxmlformats.org/officeDocument/2006/relationships/hyperlink" Target="https://home.treasury.gov/news/press-releases/jy0612" TargetMode="External"/><Relationship Id="rId59" Type="http://schemas.openxmlformats.org/officeDocument/2006/relationships/hyperlink" Target="https://www.eia.gov/todayinenergy/detail.php?id=41413" TargetMode="External"/><Relationship Id="rId67" Type="http://schemas.openxmlformats.org/officeDocument/2006/relationships/hyperlink" Target="https://home.treasury.gov/news/press-releases/jy0608" TargetMode="External"/><Relationship Id="rId20" Type="http://schemas.openxmlformats.org/officeDocument/2006/relationships/hyperlink" Target="https://www.bankofengland.co.uk/-/media/boe/files/report/2018/eu-withdrawal-scenarios-and-monetary-and-financial-stability.pdf" TargetMode="External"/><Relationship Id="rId41" Type="http://schemas.openxmlformats.org/officeDocument/2006/relationships/hyperlink" Target="https://www.cboe.com/tradable-products/vix/" TargetMode="External"/><Relationship Id="rId54" Type="http://schemas.openxmlformats.org/officeDocument/2006/relationships/hyperlink" Target="https://unctad.org/news/suez-and-panama-canal-disruptions-threaten-global-trade-and-development" TargetMode="External"/><Relationship Id="rId62" Type="http://schemas.openxmlformats.org/officeDocument/2006/relationships/hyperlink" Target="https://ustr.gov/about-us/policy-offices/press-office/press-releases/2018/june/ustr-issues-tariffs-chinese-products" TargetMode="External"/><Relationship Id="rId70" Type="http://schemas.openxmlformats.org/officeDocument/2006/relationships/hyperlink" Target="https://unctad.org/system/files/official-document/osginf2024d2_en.pdf" TargetMode="External"/><Relationship Id="rId75" Type="http://schemas.openxmlformats.org/officeDocument/2006/relationships/hyperlink" Target="https://www.tradingview.com/chart/?symbol=TVC%3AUKOIL"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boe.com/tradable-products/vix/" TargetMode="External"/><Relationship Id="rId23" Type="http://schemas.openxmlformats.org/officeDocument/2006/relationships/hyperlink" Target="https://www.eia.gov/todayinenergy/detail.php?id=41413" TargetMode="External"/><Relationship Id="rId28" Type="http://schemas.openxmlformats.org/officeDocument/2006/relationships/hyperlink" Target="https://ustr.gov/about-us/policy-offices/press-office/press-releases/2018/september/ustr-finalizes-tariffs-200" TargetMode="External"/><Relationship Id="rId36" Type="http://schemas.openxmlformats.org/officeDocument/2006/relationships/image" Target="media/image7.jpg"/><Relationship Id="rId49" Type="http://schemas.openxmlformats.org/officeDocument/2006/relationships/hyperlink" Target="https://www.bis.gov/press-release/commerce-implements-new-export-controls-advanced-computing-semiconductor-manufacturing-items-peoples" TargetMode="External"/><Relationship Id="rId57" Type="http://schemas.openxmlformats.org/officeDocument/2006/relationships/hyperlink" Target="https://www.imf.org/en/news/articles/2024/05/07/sp-geopolitics-impact-global-trade-and-dollar-gita-gopinath" TargetMode="External"/><Relationship Id="rId10" Type="http://schemas.openxmlformats.org/officeDocument/2006/relationships/hyperlink" Target="https://www.eia.gov/todayinenergy/detail.php?id=65504" TargetMode="External"/><Relationship Id="rId31" Type="http://schemas.openxmlformats.org/officeDocument/2006/relationships/hyperlink" Target="https://press.un.org/en/2022/ga12407.doc.htm" TargetMode="External"/><Relationship Id="rId44" Type="http://schemas.openxmlformats.org/officeDocument/2006/relationships/hyperlink" Target="https://www.tradingview.com/chart/?symbol=FX_IDC%3AUSDRUB" TargetMode="External"/><Relationship Id="rId52" Type="http://schemas.openxmlformats.org/officeDocument/2006/relationships/hyperlink" Target="https://www.balticexchange.com/en/data-services/market-information0/indices.html" TargetMode="External"/><Relationship Id="rId60" Type="http://schemas.openxmlformats.org/officeDocument/2006/relationships/hyperlink" Target="https://www.electoralcommission.org.uk/research-reports-and-data/our-reports-and-data-past-elections-and-referendums/results-and-turnout-eu-referendum" TargetMode="External"/><Relationship Id="rId65" Type="http://schemas.openxmlformats.org/officeDocument/2006/relationships/hyperlink" Target="https://press.un.org/en/2022/ga12407.doc.htm" TargetMode="External"/><Relationship Id="rId73" Type="http://schemas.openxmlformats.org/officeDocument/2006/relationships/hyperlink" Target="https://www.cboe.com/tradable-products/vix/" TargetMode="External"/><Relationship Id="rId78" Type="http://schemas.openxmlformats.org/officeDocument/2006/relationships/hyperlink" Target="https://www.tradingview.com/chart/?symbol=OANDA%3AXAUUSD" TargetMode="External"/><Relationship Id="rId81" Type="http://schemas.openxmlformats.org/officeDocument/2006/relationships/hyperlink" Target="https://www.tradingview.com/chart/?symbol=NASDAQ%3ASOX"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mf.org/en/news/articles/2024/05/07/sp-geopolitics-impact-global-trade-and-dollar-gita-gopinath" TargetMode="External"/><Relationship Id="rId13" Type="http://schemas.openxmlformats.org/officeDocument/2006/relationships/hyperlink" Target="https://www.imf.org/-/media/files/publications/gfsr/2025/april/english/ch2.pdf" TargetMode="External"/><Relationship Id="rId18" Type="http://schemas.openxmlformats.org/officeDocument/2006/relationships/hyperlink" Target="https://www.tradingview.com/chart/?symbol=FX%3AGBPUSD" TargetMode="External"/><Relationship Id="rId39" Type="http://schemas.openxmlformats.org/officeDocument/2006/relationships/image" Target="media/image8.jpg"/><Relationship Id="rId34" Type="http://schemas.openxmlformats.org/officeDocument/2006/relationships/hyperlink" Target="https://www.tradingview.com/chart/?symbol=CBOT%3AZW1%21" TargetMode="External"/><Relationship Id="rId50" Type="http://schemas.openxmlformats.org/officeDocument/2006/relationships/image" Target="media/image11.jpg"/><Relationship Id="rId55" Type="http://schemas.openxmlformats.org/officeDocument/2006/relationships/hyperlink" Target="https://www.eia.gov/todayinenergy/detail.php?id=65504" TargetMode="External"/><Relationship Id="rId76" Type="http://schemas.openxmlformats.org/officeDocument/2006/relationships/hyperlink" Target="https://www.tradingview.com/chart/?symbol=FX_IDC%3AUSDCNH" TargetMode="External"/><Relationship Id="rId7" Type="http://schemas.openxmlformats.org/officeDocument/2006/relationships/endnotes" Target="endnotes.xml"/><Relationship Id="rId71" Type="http://schemas.openxmlformats.org/officeDocument/2006/relationships/hyperlink" Target="https://unctad.org/news/suez-and-panama-canal-disruptions-threaten-global-trade-and-development" TargetMode="External"/><Relationship Id="rId2" Type="http://schemas.openxmlformats.org/officeDocument/2006/relationships/numbering" Target="numbering.xml"/><Relationship Id="rId29" Type="http://schemas.openxmlformats.org/officeDocument/2006/relationships/image" Target="media/image5.jpg"/><Relationship Id="rId24" Type="http://schemas.openxmlformats.org/officeDocument/2006/relationships/image" Target="media/image4.jpg"/><Relationship Id="rId40" Type="http://schemas.openxmlformats.org/officeDocument/2006/relationships/hyperlink" Target="https://www.tradingview.com/chart/?symbol=CBOE%3AVIX" TargetMode="External"/><Relationship Id="rId45" Type="http://schemas.openxmlformats.org/officeDocument/2006/relationships/hyperlink" Target="https://home.treasury.gov/news/press-releases/jy0608" TargetMode="External"/><Relationship Id="rId66" Type="http://schemas.openxmlformats.org/officeDocument/2006/relationships/hyperlink" Target="https://www.worldbank.org/en/news/press-release/2022/04/26/food-and-energy-price-shocks-from-ukraine-war" TargetMode="External"/><Relationship Id="rId61" Type="http://schemas.openxmlformats.org/officeDocument/2006/relationships/hyperlink" Target="https://www.bankofengland.co.uk/-/media/boe/files/report/2018/eu-withdrawal-scenarios-and-monetary-and-financial-stability.pdf" TargetMode="External"/><Relationship Id="rId82" Type="http://schemas.openxmlformats.org/officeDocument/2006/relationships/hyperlink" Target="https://www.tradingview.com/chart/?symbol=INDEX%3AB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7814</Words>
  <Characters>42983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4 · Partie 3 — Géopolitique et marchés financiers</dc:title>
  <dc:subject>Comprendre comment les chocs géopolitiques se transmettent à l'économie et aux marchés</dc:subject>
  <dc:creator>Support pédagogique personnalisé</dc:creator>
  <cp:keywords>géopolitique, géoéconomie, sanctions, conflits, matières premières, devises, marchés financiers</cp:keywords>
  <dc:description>generated by python-docx</dc:description>
  <cp:lastModifiedBy>tamara bidault</cp:lastModifiedBy>
  <cp:revision>2</cp:revision>
  <dcterms:created xsi:type="dcterms:W3CDTF">2013-12-23T23:15:00Z</dcterms:created>
  <dcterms:modified xsi:type="dcterms:W3CDTF">2026-07-22T14:34:00Z</dcterms:modified>
  <cp:category/>
</cp:coreProperties>
</file>