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" w:after="120"/>
        <w:ind w:hanging="0" w:left="0" w:right="0"/>
        <w:jc w:val="center"/>
        <w:rPr/>
      </w:pPr>
      <w:r>
        <w:rPr/>
        <w:t>PHENOGRAPH · OBLIVION</w:t>
      </w:r>
    </w:p>
    <w:p>
      <w:pPr>
        <w:pStyle w:val="Heading1"/>
        <w:bidi w:val="0"/>
        <w:jc w:val="center"/>
        <w:rPr/>
      </w:pPr>
      <w:r>
        <w:rPr/>
        <w:t>Компьютерная дисморфология:</w:t>
        <w:br/>
        <w:t>распознавание генетических синдромов по лицу</w:t>
      </w:r>
    </w:p>
    <w:p>
      <w:pPr>
        <w:pStyle w:val="BodyTextlead"/>
        <w:bidi w:val="0"/>
        <w:jc w:val="center"/>
        <w:rPr/>
      </w:pPr>
      <w:r>
        <w:rPr/>
        <w:t>Отчёт о продукте и технической реализации (MVP)</w:t>
      </w:r>
    </w:p>
    <w:p>
      <w:pPr>
        <w:pStyle w:val="BodyText"/>
        <w:bidi w:val="0"/>
        <w:jc w:val="center"/>
        <w:rPr/>
      </w:pPr>
      <w:r>
        <w:rPr/>
        <w:t xml:space="preserve">Платформа: </w:t>
      </w:r>
      <w:r>
        <w:rPr>
          <w:rStyle w:val="SourceText"/>
        </w:rPr>
        <w:t>frontend.rusted-apple.com</w:t>
      </w:r>
      <w:r>
        <w:rPr/>
        <w:t xml:space="preserve"> · API: </w:t>
      </w:r>
      <w:r>
        <w:rPr>
          <w:rStyle w:val="SourceText"/>
        </w:rPr>
        <w:t>api.rusted-apple.com</w:t>
      </w:r>
      <w:r>
        <w:rPr/>
        <w:br/>
        <w:t>Дата: 30 мая 2026 г. · Статус: MVP, развёрнут в продакшн-окружении</w:t>
      </w:r>
    </w:p>
    <w:p>
      <w:pPr>
        <w:pStyle w:val="BlockQuotationsmall"/>
        <w:bidi w:val="0"/>
        <w:jc w:val="left"/>
        <w:rPr/>
      </w:pPr>
      <w:r>
        <w:rPr>
          <w:rStyle w:val="Strong"/>
        </w:rPr>
        <w:t>О документе.</w:t>
      </w:r>
      <w:r>
        <w:rPr/>
        <w:t xml:space="preserve"> Это сводный отчёт о продукте Phenograph (внутреннее кодовое имя бэкенда — </w:t>
      </w:r>
      <w:r>
        <w:rPr>
          <w:rStyle w:val="Emphasis"/>
        </w:rPr>
        <w:t>Oblivion</w:t>
      </w:r>
      <w:r>
        <w:rPr/>
        <w:t xml:space="preserve">). Описание архитектуры опирается на проектные материалы из каталога </w:t>
      </w:r>
      <w:r>
        <w:rPr>
          <w:rStyle w:val="SourceText"/>
        </w:rPr>
        <w:t>design/</w:t>
      </w:r>
      <w:r>
        <w:rPr/>
        <w:t xml:space="preserve"> (целевое видение системы), а описание реализации — на фактический исходный код репозитория и на наблюдения, сделанные на живом стенде. Все экранные снимки получены с работающего развёрнутого приложения. Документ намеренно честно разграничивает </w:t>
      </w:r>
      <w:r>
        <w:rPr>
          <w:rStyle w:val="Emphasis"/>
        </w:rPr>
        <w:t>реализованное</w:t>
      </w:r>
      <w:r>
        <w:rPr/>
        <w:t xml:space="preserve">, </w:t>
      </w:r>
      <w:r>
        <w:rPr>
          <w:rStyle w:val="Emphasis"/>
        </w:rPr>
        <w:t>частично реализованное</w:t>
      </w:r>
      <w:r>
        <w:rPr/>
        <w:t xml:space="preserve"> и </w:t>
      </w:r>
      <w:r>
        <w:rPr>
          <w:rStyle w:val="Emphasis"/>
        </w:rPr>
        <w:t>целевое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Содержание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Краткое резюме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Контекст и рыночная возможность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Продукт: возможности и пользовательские сценарии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Архитектура системы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Бэкенд: микросервисы и данные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Ядро распознавания (ML): текущее состояние и цель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Фронтенд: Phenograph SPA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Безопасность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Развёртывание MVP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Текущие ограничения и известные проблемы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Дорожная карта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>
          <w:rFonts w:ascii="Liberation Sans;Arial;sans-serif" w:hAnsi="Liberation Sans;Arial;sans-serif"/>
          <w:sz w:val="22"/>
        </w:rPr>
      </w:pPr>
      <w:r>
        <w:rPr>
          <w:rFonts w:ascii="Liberation Sans;Arial;sans-serif" w:hAnsi="Liberation Sans;Arial;sans-serif"/>
          <w:sz w:val="22"/>
        </w:rPr>
        <w:t xml:space="preserve">Приложения (полная карта API, каталог синдромов, доступы) </w:t>
      </w:r>
    </w:p>
    <w:p>
      <w:pPr>
        <w:pStyle w:val="Heading2pb"/>
        <w:bidi w:val="0"/>
        <w:jc w:val="left"/>
        <w:rPr/>
      </w:pPr>
      <w:r>
        <w:rPr/>
        <w:t>1. Краткое резюме</w:t>
      </w:r>
    </w:p>
    <w:p>
      <w:pPr>
        <w:pStyle w:val="BodyText"/>
        <w:bidi w:val="0"/>
        <w:rPr/>
      </w:pPr>
      <w:r>
        <w:rPr>
          <w:rStyle w:val="Strong"/>
        </w:rPr>
        <w:t>Phenograph</w:t>
      </w:r>
      <w:r>
        <w:rPr/>
        <w:t xml:space="preserve"> — это платформа поддержки клинических решений для медицинской генетики. По одной фотографии лица пациента система выделяет морфологические признаки и формирует ранжированный список наиболее вероятных генетических синдромов, связанных с онтологией человеческого фенотипа (Human Phenotype Ontology, HPO). По сути это русско-/локально-ориентированный функциональный аналог мирового лидера рынка — Face2Gene (компания FDNA).</w:t>
      </w:r>
    </w:p>
    <w:p>
      <w:pPr>
        <w:pStyle w:val="BodyText"/>
        <w:bidi w:val="0"/>
        <w:rPr/>
      </w:pPr>
      <w:r>
        <w:rPr/>
        <w:t xml:space="preserve">Продукт обслуживает </w:t>
      </w:r>
      <w:r>
        <w:rPr>
          <w:rStyle w:val="Strong"/>
        </w:rPr>
        <w:t>две роли пользователей</w:t>
      </w:r>
      <w:r>
        <w:rPr/>
        <w:t xml:space="preserve"> по проверенной бизнес-модели Face2Gene: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Врач-генетик</w:t>
      </w:r>
      <w:r>
        <w:rPr/>
        <w:t xml:space="preserve"> — создаёт клинические кейсы, загружает изображение, получает дифференциальный диагноз (ранжированный список синдромов с оценками), работает со справочником синдромов и HPO.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Лаборатория</w:t>
      </w:r>
      <w:r>
        <w:rPr/>
        <w:t xml:space="preserve"> — пакетная (batch) обработка изображений, подписки и тарифы, учёт потребления. </w:t>
      </w:r>
    </w:p>
    <w:p>
      <w:pPr>
        <w:pStyle w:val="BodyText"/>
        <w:bidi w:val="0"/>
        <w:rPr/>
      </w:pPr>
      <w:r>
        <w:rPr>
          <w:rStyle w:val="Strong"/>
        </w:rPr>
        <w:t>Технически</w:t>
      </w:r>
      <w:r>
        <w:rPr/>
        <w:t xml:space="preserve"> система построена как набор из </w:t>
      </w:r>
      <w:r>
        <w:rPr>
          <w:rStyle w:val="Strong"/>
        </w:rPr>
        <w:t>7 независимых микросервисов на Rust (фреймворк Axum)</w:t>
      </w:r>
      <w:r>
        <w:rPr/>
        <w:t xml:space="preserve"> с асинхронной обработкой через </w:t>
      </w:r>
      <w:r>
        <w:rPr>
          <w:rStyle w:val="Strong"/>
        </w:rPr>
        <w:t>Apache Kafka</w:t>
      </w:r>
      <w:r>
        <w:rPr/>
        <w:t xml:space="preserve"> и одностраничным фронтендом (SPA) на </w:t>
      </w:r>
      <w:r>
        <w:rPr>
          <w:rStyle w:val="Strong"/>
        </w:rPr>
        <w:t>React</w:t>
      </w:r>
      <w:r>
        <w:rPr/>
        <w:t>. Сервисы спрятаны за единым API-шлюзом (nginx). Хранилища: PostgreSQL, Redis, объектное хранилище MinIO (S3), Elasticsearch.</w:t>
      </w:r>
    </w:p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8A3A2E"/>
              <w:left w:val="single" w:sz="2" w:space="0" w:color="8A3A2E"/>
              <w:bottom w:val="single" w:sz="2" w:space="0" w:color="8A3A2E"/>
              <w:right w:val="single" w:sz="2" w:space="0" w:color="8A3A2E"/>
            </w:tcBorders>
            <w:shd w:fill="F4DAD3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both"/>
              <w:rPr/>
            </w:pPr>
            <w:r>
              <w:rPr>
                <w:rStyle w:val="Strong"/>
              </w:rPr>
              <w:t>Ключевая оговорка.</w:t>
            </w:r>
            <w:r>
              <w:rPr/>
              <w:t xml:space="preserve"> На текущем этапе MVP </w:t>
            </w:r>
            <w:r>
              <w:rPr>
                <w:rStyle w:val="Strong"/>
              </w:rPr>
              <w:t>само распознавание — это заглушка (stub)</w:t>
            </w:r>
            <w:r>
              <w:rPr/>
              <w:t xml:space="preserve">: сервис </w:t>
            </w:r>
            <w:r>
              <w:rPr>
                <w:rStyle w:val="SourceText"/>
              </w:rPr>
              <w:t>recognition</w:t>
            </w:r>
            <w:r>
              <w:rPr/>
              <w:t xml:space="preserve"> игнорирует содержимое изображения и возвращает случайный top-10 синдромов из каталога на 50 позиций после имитации задержки «инференса» в 0,5–2 с. При этом </w:t>
            </w:r>
            <w:r>
              <w:rPr>
                <w:rStyle w:val="Emphasis"/>
              </w:rPr>
              <w:t>контракты сообщений и весь конвейер обработки — промышленного качества</w:t>
            </w:r>
            <w:r>
              <w:rPr/>
              <w:t xml:space="preserve">, поэтому замена заглушки на реальную ML-модель не требует переделки остальной системы. </w:t>
            </w:r>
          </w:p>
        </w:tc>
      </w:tr>
    </w:tbl>
    <w:p>
      <w:pPr>
        <w:pStyle w:val="Heading4"/>
        <w:bidi w:val="0"/>
        <w:jc w:val="left"/>
        <w:rPr/>
      </w:pPr>
      <w:r>
        <w:rPr/>
        <w:t>Ключевые цифры реализации</w:t>
      </w:r>
    </w:p>
    <w:tbl>
      <w:tblPr>
        <w:tblW w:w="105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38"/>
        <w:gridCol w:w="6762"/>
      </w:tblGrid>
      <w:tr>
        <w:trPr/>
        <w:tc>
          <w:tcPr>
            <w:tcW w:w="3738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Параметр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Микросервисов (Rust/Axum)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7 + общая библиотека </w:t>
            </w:r>
            <w:r>
              <w:rPr>
                <w:rStyle w:val="SourceText"/>
              </w:rPr>
              <w:t>oblivion-common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Схем в PostgreSQL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6 (auth, cases, labs, billing, notifier, reference)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HTTP-операций API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24 бизнес-операции + health-проверки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Топиков Kafka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 рабочих (</w:t>
            </w:r>
            <w:r>
              <w:rPr>
                <w:rStyle w:val="SourceText"/>
              </w:rPr>
              <w:t>analysis.requests</w:t>
            </w:r>
            <w:r>
              <w:rPr/>
              <w:t xml:space="preserve">, </w:t>
            </w:r>
            <w:r>
              <w:rPr>
                <w:rStyle w:val="SourceText"/>
              </w:rPr>
              <w:t>analysis.results</w:t>
            </w:r>
            <w:r>
              <w:rPr/>
              <w:t xml:space="preserve">, </w:t>
            </w:r>
            <w:r>
              <w:rPr>
                <w:rStyle w:val="SourceText"/>
              </w:rPr>
              <w:t>notifications</w:t>
            </w:r>
            <w:r>
              <w:rPr/>
              <w:t>)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Синдромов в каталоге распознавания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50 (со стабильными UUID)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Справочные данные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50 синдромов + 100 HPO-терминов (сид)</w:t>
            </w:r>
          </w:p>
        </w:tc>
      </w:tr>
      <w:tr>
        <w:trPr/>
        <w:tc>
          <w:tcPr>
            <w:tcW w:w="37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Статус развёртывания</w:t>
            </w:r>
          </w:p>
        </w:tc>
        <w:tc>
          <w:tcPr>
            <w:tcW w:w="67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Живой стенд (frontend + API + TLS), демо-доступы засеяны</w:t>
            </w:r>
          </w:p>
        </w:tc>
      </w:tr>
    </w:tbl>
    <w:p>
      <w:pPr>
        <w:pStyle w:val="Heading2pb"/>
        <w:bidi w:val="0"/>
        <w:jc w:val="left"/>
        <w:rPr/>
      </w:pPr>
      <w:r>
        <w:rPr/>
        <w:t>2. Контекст и рыночная возможность</w:t>
      </w:r>
    </w:p>
    <w:p>
      <w:pPr>
        <w:pStyle w:val="BodyText"/>
        <w:bidi w:val="0"/>
        <w:rPr/>
      </w:pPr>
      <w:r>
        <w:rPr/>
        <w:t xml:space="preserve">Рынок распознавания генетических заболеваний по изображению лица </w:t>
      </w:r>
      <w:r>
        <w:rPr>
          <w:rStyle w:val="Strong"/>
        </w:rPr>
        <w:t>консолидирован вокруг единственного лидера — FDNA с продуктом Face2Gene</w:t>
      </w:r>
      <w:r>
        <w:rPr/>
        <w:t>. Им пользуются около 70% генетиков мира в более чем 10 000 медицинских центрах 130 стран. Алгоритм DeepGestalt показывает 91% точности попадания в первую десятку диагнозов (Nature Medicine, 2019); база содержит свыше 150 000 изображений и более 5 000 заболеваний.</w:t>
      </w:r>
    </w:p>
    <w:p>
      <w:pPr>
        <w:pStyle w:val="BodyText"/>
        <w:bidi w:val="0"/>
        <w:rPr/>
      </w:pPr>
      <w:r>
        <w:rPr>
          <w:rStyle w:val="Strong"/>
        </w:rPr>
        <w:t>Бизнес-модель Face2Gene</w:t>
      </w:r>
      <w:r>
        <w:rPr/>
        <w:t xml:space="preserve"> — фримиум с сетевым эффектом: приложение CLINIC бесплатно для врачей (в обмен на данные для обучения), монетизация — через продукт LABS для лабораторий по тарифной сетке:</w:t>
      </w:r>
    </w:p>
    <w:tbl>
      <w:tblPr>
        <w:tblW w:w="50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7"/>
        <w:gridCol w:w="2092"/>
        <w:gridCol w:w="1835"/>
      </w:tblGrid>
      <w:tr>
        <w:trPr/>
        <w:tc>
          <w:tcPr>
            <w:tcW w:w="1107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Тариф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Кейсов в месяц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Превышение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Bronze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40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$50/кейс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Silver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80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$50/кейс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Gold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145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$50/кейс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Platinum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$50/кейс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Bundle</w:t>
            </w:r>
          </w:p>
        </w:tc>
        <w:tc>
          <w:tcPr>
            <w:tcW w:w="2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40–300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$40/кейс</w:t>
            </w:r>
          </w:p>
        </w:tc>
      </w:tr>
    </w:tbl>
    <w:p>
      <w:pPr>
        <w:pStyle w:val="BodyText"/>
        <w:bidi w:val="0"/>
        <w:rPr/>
      </w:pPr>
      <w:r>
        <w:rPr/>
        <w:t>Именно эта сетка тарифов воспроизведена в биллинг-сервисе Phenograph (см. раздел 5).</w:t>
      </w:r>
    </w:p>
    <w:p>
      <w:pPr>
        <w:pStyle w:val="BodyText"/>
        <w:bidi w:val="0"/>
        <w:rPr/>
      </w:pPr>
      <w:r>
        <w:rPr>
          <w:rStyle w:val="Strong"/>
        </w:rPr>
        <w:t>Рыночная возможность для Phenograph.</w:t>
      </w:r>
      <w:r>
        <w:rPr/>
        <w:t xml:space="preserve"> В России и СНГ собственных решений в области фенотипирования по лицу </w:t>
      </w:r>
      <w:r>
        <w:rPr>
          <w:rStyle w:val="Strong"/>
        </w:rPr>
        <w:t>не существует</w:t>
      </w:r>
      <w:r>
        <w:rPr/>
        <w:t xml:space="preserve">. Face2Gene используется отдельными генетиками в индивидуальном порядке, а </w:t>
      </w:r>
      <w:r>
        <w:rPr>
          <w:rStyle w:val="Strong"/>
        </w:rPr>
        <w:t>главным барьером для распространения называют отсутствие русскоязычного интерфейса</w:t>
      </w:r>
      <w:r>
        <w:rPr/>
        <w:t>. Сегмент ИИ-диагностики редких заболеваний растёт темпами ~29% в год и достигнет ≈$5,5 млрд к 2029 г. Phenograph позиционируется как локализованный аналог с той же двусторонней бизнес-моделью (бесплатно врачам, платно лабораториям) и потенциалом первопроходца на недооохваченном рынке.</w:t>
      </w:r>
    </w:p>
    <w:p>
      <w:pPr>
        <w:pStyle w:val="BlockQuotationsmall"/>
        <w:bidi w:val="0"/>
        <w:jc w:val="left"/>
        <w:rPr/>
      </w:pPr>
      <w:r>
        <w:rPr/>
        <w:t xml:space="preserve">Полный конкурентный и рыночный анализ приведён в исходном материале </w:t>
      </w:r>
      <w:r>
        <w:rPr>
          <w:rStyle w:val="SourceText"/>
        </w:rPr>
        <w:t>design/compass_artifact…md</w:t>
      </w:r>
      <w:r>
        <w:rPr/>
        <w:t xml:space="preserve"> и не дублируется здесь целиком.</w:t>
      </w:r>
    </w:p>
    <w:p>
      <w:pPr>
        <w:pStyle w:val="Heading2pb"/>
        <w:bidi w:val="0"/>
        <w:jc w:val="left"/>
        <w:rPr/>
      </w:pPr>
      <w:r>
        <w:rPr/>
        <w:t>3. Продукт: возможности и пользовательские сценарии</w:t>
      </w:r>
    </w:p>
    <w:p>
      <w:pPr>
        <w:pStyle w:val="BodyText"/>
        <w:bidi w:val="0"/>
        <w:rPr/>
      </w:pPr>
      <w:r>
        <w:rPr/>
        <w:t xml:space="preserve">Ниже — обзор реального интерфейса, снятый с работающего стенда </w:t>
      </w:r>
      <w:r>
        <w:rPr>
          <w:rStyle w:val="SourceText"/>
        </w:rPr>
        <w:t>frontend.rusted-apple.com</w:t>
      </w:r>
      <w:r>
        <w:rPr/>
        <w:t>. Приложение распознаёт роль пользователя (врач / лаборатория) и показывает соответствующую навигацию.</w:t>
      </w:r>
    </w:p>
    <w:p>
      <w:pPr>
        <w:pStyle w:val="Heading3"/>
        <w:bidi w:val="0"/>
        <w:jc w:val="left"/>
        <w:rPr/>
      </w:pPr>
      <w:r>
        <w:rPr/>
        <w:t>3.1. Маркетинговый лендинг</w:t>
      </w:r>
    </w:p>
    <w:p>
      <w:pPr>
        <w:pStyle w:val="BodyText"/>
        <w:bidi w:val="0"/>
        <w:rPr/>
      </w:pPr>
      <w:r>
        <w:rPr/>
        <w:t>Публичная посадочная страница выполнена как «кинематографичный» прокручиваемый рассказ из трёх актов (двойная спираль ДНК → лицевая сетка из ориентиров → панель доказательной базы), за которым следуют блок возможностей и блок доказательств. Визуальный язык — сдержанный, «клинический», с акцентом на доверие (бейджи HIPAA / SOC 2 / GDPR, формулировка «Not a diagnostic device. Clinical decision support only»).</w:t>
      </w:r>
    </w:p>
    <w:p>
      <w:pPr>
        <w:pStyle w:val="BodyText"/>
        <w:bidi w:val="0"/>
        <w:spacing w:before="120" w:after="0"/>
        <w:rPr/>
      </w:pPr>
      <w:r>
        <w:rPr/>
        <w:drawing>
          <wp:inline distT="0" distB="0" distL="0" distR="0">
            <wp:extent cx="6286500" cy="3924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1 — Главный экран лендинга: «Phenotype, precisely read.» с анимированной спиралью ДНК. </w:t>
      </w:r>
      <w:r>
        <w:rPr/>
        <w:drawing>
          <wp:inline distT="0" distB="0" distL="0" distR="0">
            <wp:extent cx="6286500" cy="39243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2 — Блок возможностей: фенотипирование по ориентирам, ранжирование синдромов, клинический workflow. </w:t>
      </w:r>
      <w:r>
        <w:rPr/>
        <w:drawing>
          <wp:inline distT="0" distB="0" distL="0" distR="0">
            <wp:extent cx="6286500" cy="39243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3 — Блок доказательной базы. </w:t>
      </w:r>
    </w:p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8A3A2E"/>
              <w:left w:val="single" w:sz="2" w:space="0" w:color="8A3A2E"/>
              <w:bottom w:val="single" w:sz="2" w:space="0" w:color="8A3A2E"/>
              <w:right w:val="single" w:sz="2" w:space="0" w:color="8A3A2E"/>
            </w:tcBorders>
            <w:shd w:fill="F4DAD3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both"/>
              <w:rPr/>
            </w:pPr>
            <w:r>
              <w:rPr>
                <w:rStyle w:val="Strong"/>
                <w:sz w:val="20"/>
              </w:rPr>
              <w:t>Важно для отчёта.</w:t>
            </w:r>
            <w:r>
              <w:rPr>
                <w:sz w:val="20"/>
              </w:rPr>
              <w:t xml:space="preserve"> Цифры на лендинге (точность 92% top-5, 4 317 синдромов, 12 000+ подтверждённых случаев, 17 публикаций, 41 учреждение) — это </w:t>
            </w:r>
            <w:r>
              <w:rPr>
                <w:rStyle w:val="Strong"/>
                <w:sz w:val="20"/>
              </w:rPr>
              <w:t>маркетинговые заявления, отражающие целевое видение продукта, а не текущую реализацию</w:t>
            </w:r>
            <w:r>
              <w:rPr>
                <w:sz w:val="20"/>
              </w:rPr>
              <w:t>. Фактический MVP-бэкенд оперирует каталогом на 50 синдромов и использует заглушку распознавания (см. раздел 6).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3.2. Аутентификация</w:t>
      </w:r>
    </w:p>
    <w:p>
      <w:pPr>
        <w:pStyle w:val="BodyText"/>
        <w:bidi w:val="0"/>
        <w:rPr/>
      </w:pPr>
      <w:r>
        <w:rPr/>
        <w:t>Вход и регистрация по e-mail и паролю. Доступ к рабочему пространству ограничен (защищённые маршруты). После входа access-токен (JWT) хранится в браузере и автоматически обновляется по refresh-токену при истечении.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4953000" cy="30956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4 — Экран входа в клиническое рабочее пространство. </w:t>
      </w:r>
    </w:p>
    <w:p>
      <w:pPr>
        <w:pStyle w:val="Heading3"/>
        <w:bidi w:val="0"/>
        <w:jc w:val="left"/>
        <w:rPr/>
      </w:pPr>
      <w:r>
        <w:rPr/>
        <w:t>3.3. Сценарий врача</w:t>
      </w:r>
    </w:p>
    <w:p>
      <w:pPr>
        <w:pStyle w:val="BodyText"/>
        <w:bidi w:val="0"/>
        <w:rPr/>
      </w:pPr>
      <w:r>
        <w:rPr/>
        <w:t>Домашний экран врача — список кейсов с фильтрами по статусу (все / в обработке / завершён / ошибка) и таблицей: пациент, возраст, статус, дата.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6286500" cy="39243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5 — Рабочее пространство врача: список клинических кейсов. </w:t>
      </w:r>
    </w:p>
    <w:p>
      <w:pPr>
        <w:pStyle w:val="BodyText"/>
        <w:bidi w:val="0"/>
        <w:rPr/>
      </w:pPr>
      <w:r>
        <w:rPr/>
        <w:t>Создание нового анализа: метаданные пациента → загрузка изображения по защищённой (presigned) ссылке напрямую в объектное хранилище → подтверждение загрузки запускает асинхронный анализ.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6 — Мастер создания кейса и загрузки изображения («New analysis»). </w:t>
      </w:r>
    </w:p>
    <w:p>
      <w:pPr>
        <w:pStyle w:val="BodyText"/>
        <w:bidi w:val="0"/>
        <w:rPr/>
      </w:pPr>
      <w:r>
        <w:rPr>
          <w:rStyle w:val="Strong"/>
        </w:rPr>
        <w:t>Ключевой экран продукта — карточка кейса</w:t>
      </w:r>
      <w:r>
        <w:rPr/>
        <w:t xml:space="preserve"> с результатом. Слева — абстрактная визуализация лицевой сетки из ориентиров (фотография пациента принципиально не отображается — «For privacy, the patient photograph is never rendered»). Справа — ранжированный список из 10 синдромов-кандидатов с апостериорными оценками и индикаторами уверенности.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6286500" cy="51435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14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7 — Карточка завершённого кейса: лицевая сетка + дифференциальный диагноз (top-10). </w:t>
      </w:r>
    </w:p>
    <w:p>
      <w:pPr>
        <w:pStyle w:val="Heading3"/>
        <w:bidi w:val="0"/>
        <w:jc w:val="left"/>
        <w:rPr/>
      </w:pPr>
      <w:r>
        <w:rPr/>
        <w:t>3.4. Справочник синдромов и атлас признаков (HPO)</w:t>
      </w:r>
    </w:p>
    <w:p>
      <w:pPr>
        <w:pStyle w:val="BodyText"/>
        <w:bidi w:val="0"/>
        <w:rPr/>
      </w:pPr>
      <w:r>
        <w:rPr/>
        <w:t>Раздел доступен обеим ролям. Справочник синдромов — поиск и постраничный просмотр; карточка синдрома содержит описание, OMIM-идентификатор, распространённость, тип наследования и связанные HPO-термины. Отдельный «атлас признаков» — поиск по терминам Human Phenotype Ontology.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6286500" cy="39243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8 — Справочник синдромов с поиском. </w:t>
      </w:r>
      <w:r>
        <w:rPr/>
        <w:drawing>
          <wp:inline distT="0" distB="0" distL="0" distR="0">
            <wp:extent cx="5334000" cy="333375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9 — Карточка синдрома с описанием и связанными HPO-признаками. </w:t>
      </w:r>
      <w:r>
        <w:rPr/>
        <w:drawing>
          <wp:inline distT="0" distB="0" distL="0" distR="0">
            <wp:extent cx="6286500" cy="39243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10 — Атлас признаков (поиск по HPO), пример запроса «hypertelorism». </w:t>
      </w:r>
    </w:p>
    <w:p>
      <w:pPr>
        <w:pStyle w:val="Heading3"/>
        <w:bidi w:val="0"/>
        <w:jc w:val="left"/>
        <w:rPr/>
      </w:pPr>
      <w:r>
        <w:rPr/>
        <w:t>3.5. Сценарий лаборатории</w:t>
      </w:r>
    </w:p>
    <w:p>
      <w:pPr>
        <w:pStyle w:val="BodyText"/>
        <w:bidi w:val="0"/>
        <w:rPr/>
      </w:pPr>
      <w:r>
        <w:rPr/>
        <w:t>Лаборатория работает с пакетами (batch) изображений: постановка изображений в очередь, отправка батча, просмотр результатов по мере обработки, помесячный учёт потребления и выбор тарифа. Навигация лаборатории отличается от врачебной (Batches, New batch, Usage, Billing).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11 — Лаборатория: создание нового пакета (batch) изображений. </w:t>
      </w:r>
      <w:r>
        <w:rPr/>
        <w:drawing>
          <wp:inline distT="0" distB="0" distL="0" distR="0">
            <wp:extent cx="6286500" cy="39243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12 — Лаборатория: список пакетов. </w:t>
      </w:r>
    </w:p>
    <w:p>
      <w:pPr>
        <w:pStyle w:val="BodyText"/>
        <w:bidi w:val="0"/>
        <w:rPr/>
      </w:pPr>
      <w:r>
        <w:rPr/>
        <w:t>Замечание: на живом стенде у демо-лаборатории отсутствует активная подписка, а биллинг-страница в текущей сборке падает; в результате лабораторный/монетизационный сценарий не воспроизводится полностью end-to-end. Подробности — в разделе 10.</w:t>
      </w:r>
    </w:p>
    <w:p>
      <w:pPr>
        <w:pStyle w:val="Heading3"/>
        <w:bidi w:val="0"/>
        <w:jc w:val="left"/>
        <w:rPr/>
      </w:pPr>
      <w:r>
        <w:rPr/>
        <w:t>3.6. Уведомления и профиль</w:t>
      </w:r>
    </w:p>
    <w:p>
      <w:pPr>
        <w:pStyle w:val="BodyText"/>
        <w:bidi w:val="0"/>
        <w:rPr/>
      </w:pPr>
      <w:r>
        <w:rPr/>
        <w:t>Уведомления формируются автоматически (например, «анализ готов») и отображаются в приложении с возможностью отметить прочитанным. Профиль показывает данные учётной записи.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6286500" cy="392430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13 — Центр уведомлений. </w:t>
      </w:r>
      <w:r>
        <w:rPr/>
        <w:drawing>
          <wp:inline distT="0" distB="0" distL="0" distR="0">
            <wp:extent cx="6286500" cy="392430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Рис. 14 — Профиль пользователя (только просмотр — см. раздел 10). </w:t>
      </w:r>
    </w:p>
    <w:p>
      <w:pPr>
        <w:pStyle w:val="Heading2pb"/>
        <w:bidi w:val="0"/>
        <w:jc w:val="left"/>
        <w:rPr/>
      </w:pPr>
      <w:r>
        <w:rPr/>
        <w:t>4. Архитектура системы</w:t>
      </w:r>
    </w:p>
    <w:p>
      <w:pPr>
        <w:pStyle w:val="Heading3"/>
        <w:bidi w:val="0"/>
        <w:jc w:val="left"/>
        <w:rPr/>
      </w:pPr>
      <w:r>
        <w:rPr/>
        <w:t>4.1. Целевая архитектура (видение)</w:t>
      </w:r>
    </w:p>
    <w:p>
      <w:pPr>
        <w:pStyle w:val="BodyText"/>
        <w:bidi w:val="0"/>
        <w:rPr/>
      </w:pPr>
      <w:r>
        <w:rPr/>
        <w:t>Проектные материалы (</w:t>
      </w:r>
      <w:r>
        <w:rPr>
          <w:rStyle w:val="SourceText"/>
        </w:rPr>
        <w:t>design/</w:t>
      </w:r>
      <w:r>
        <w:rPr/>
        <w:t>) описывают целевую облачную архитектуру: клиенты (web на React, мобильное приложение на Flutter, Labs API по REST/gRPC) → пограничный слой (CDN, балансировщик) → кластер Kubernetes с API-шлюзом (Kong/Traefik) и ограничителем запросов → микросервисы (Core: Auth, Case, Labs; Async: Recognition на GPU, Notifier; Support: Reference, Billing) → шина Apache Kafka → хранилища (PostgreSQL, S3/MinIO, Redis, Elasticsearch, векторная БД эмбеддингов лица, реестр моделей MLflow) → наблюдаемость (Prometheus, Grafana, Jaeger, ELK).</w:t>
      </w:r>
    </w:p>
    <w:p>
      <w:pPr>
        <w:pStyle w:val="BodyText"/>
        <w:bidi w:val="0"/>
        <w:rPr/>
      </w:pPr>
      <w:r>
        <w:rPr/>
        <w:t xml:space="preserve">Диаграмма целевой архитектуры приведена в проектных материалах </w:t>
      </w:r>
      <w:r>
        <w:rPr>
          <w:rStyle w:val="SourceText"/>
        </w:rPr>
        <w:t>design/</w:t>
      </w:r>
      <w:r>
        <w:rPr/>
        <w:t xml:space="preserve"> и здесь не дублируется.</w:t>
      </w:r>
    </w:p>
    <w:p>
      <w:pPr>
        <w:pStyle w:val="BodyText"/>
        <w:bidi w:val="0"/>
        <w:rPr/>
      </w:pPr>
      <w:r>
        <w:rPr/>
        <w:t>Ключевые потоки данных в целевой модели: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Создание кейса врачом:</w:t>
      </w:r>
      <w:r>
        <w:rPr/>
        <w:t xml:space="preserve"> клиент → шлюз → Case Service → PostgreSQL + S3 → Kafka (</w:t>
      </w:r>
      <w:r>
        <w:rPr>
          <w:rStyle w:val="SourceText"/>
        </w:rPr>
        <w:t>analysis.requests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Анализ изображения:</w:t>
      </w:r>
      <w:r>
        <w:rPr/>
        <w:t xml:space="preserve"> Kafka → Recognition Service → векторная БД → Kafka (</w:t>
      </w:r>
      <w:r>
        <w:rPr>
          <w:rStyle w:val="SourceText"/>
        </w:rPr>
        <w:t>analysis.results</w:t>
      </w:r>
      <w:r>
        <w:rPr/>
        <w:t xml:space="preserve">) → Case Service.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Пакет лаборатории:</w:t>
      </w:r>
      <w:r>
        <w:rPr/>
        <w:t xml:space="preserve"> Labs API → шлюз → Labs Service → Kafka → Recognition → результат.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Уведомления:</w:t>
      </w:r>
      <w:r>
        <w:rPr/>
        <w:t xml:space="preserve"> Kafka (</w:t>
      </w:r>
      <w:r>
        <w:rPr>
          <w:rStyle w:val="SourceText"/>
        </w:rPr>
        <w:t>notifications</w:t>
      </w:r>
      <w:r>
        <w:rPr/>
        <w:t xml:space="preserve">) → Notifier → Email/Push/Webhook. </w:t>
      </w:r>
    </w:p>
    <w:p>
      <w:pPr>
        <w:pStyle w:val="Heading3"/>
        <w:bidi w:val="0"/>
        <w:jc w:val="left"/>
        <w:rPr/>
      </w:pPr>
      <w:r>
        <w:rPr/>
        <w:t>4.2. Реализованная архитектура и развёртывание в Kubernetes</w:t>
      </w:r>
    </w:p>
    <w:p>
      <w:pPr>
        <w:pStyle w:val="BodyText"/>
        <w:bidi w:val="0"/>
        <w:rPr/>
      </w:pPr>
      <w:r>
        <w:rPr/>
        <w:t xml:space="preserve">Платформа реализована как 7 независимых сервисов на Rust/Axum за единым API-шлюзом (nginx), с инфраструктурой PostgreSQL / Apache Kafka / Redis / MinIO / Elasticsearch. Для продакшна </w:t>
      </w:r>
      <w:r>
        <w:rPr>
          <w:rStyle w:val="Strong"/>
        </w:rPr>
        <w:t>подготовлены и проверены манифесты Kubernetes</w:t>
      </w:r>
      <w:r>
        <w:rPr/>
        <w:t>: сервисы разворачиваются как Deployments за Ingress (TLS), а stateful-компоненты (БД, шина, хранилища) — как StatefulSets/Deployments внутри кластера. Это приближает реализацию к целевой архитектуре из §4.1.</w:t>
      </w:r>
    </w:p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3F7A3A"/>
              <w:left w:val="single" w:sz="2" w:space="0" w:color="3F7A3A"/>
              <w:bottom w:val="single" w:sz="2" w:space="0" w:color="3F7A3A"/>
              <w:right w:val="single" w:sz="2" w:space="0" w:color="3F7A3A"/>
            </w:tcBorders>
            <w:shd w:fill="E8EFDD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Статус развёртывания.</w:t>
            </w:r>
            <w:r>
              <w:rPr/>
              <w:t xml:space="preserve"> Манифесты Kubernetes готовы к продакшн-развёртыванию. Публичный </w:t>
            </w:r>
            <w:r>
              <w:rPr>
                <w:rStyle w:val="Emphasis"/>
              </w:rPr>
              <w:t>демо-стенд</w:t>
            </w:r>
            <w:r>
              <w:rPr/>
              <w:t xml:space="preserve"> </w:t>
            </w:r>
            <w:r>
              <w:rPr>
                <w:rStyle w:val="SourceText"/>
              </w:rPr>
              <w:t>rusted-apple.com</w:t>
            </w:r>
            <w:r>
              <w:rPr/>
              <w:t xml:space="preserve">, с которого сделаны экранные снимки, на момент подготовки отчёта работает на упрощённом одномашинном варианте (systemd-юниты + Docker-инфраструктура, скрипт </w:t>
            </w:r>
            <w:r>
              <w:rPr>
                <w:rStyle w:val="SourceText"/>
              </w:rPr>
              <w:t>deploy.sh</w:t>
            </w:r>
            <w:r>
              <w:rPr/>
              <w:t xml:space="preserve">) — см. §9. </w:t>
            </w:r>
          </w:p>
        </w:tc>
      </w:tr>
    </w:tbl>
    <w:p>
      <w:pPr>
        <w:pStyle w:val="BodyText"/>
        <w:bidi w:val="0"/>
        <w:spacing w:before="120" w:after="0"/>
        <w:rPr/>
      </w:pPr>
      <w:r>
        <w:rPr/>
        <w:drawing>
          <wp:inline distT="0" distB="0" distL="0" distR="0">
            <wp:extent cx="6667500" cy="379095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Рис. 15 — Развёртывание в Kubernetes (манифесты подготовлены). Красным выделена заглушка распознавания. </w:t>
      </w:r>
    </w:p>
    <w:tbl>
      <w:tblPr>
        <w:tblW w:w="105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2"/>
        <w:gridCol w:w="8688"/>
      </w:tblGrid>
      <w:tr>
        <w:trPr/>
        <w:tc>
          <w:tcPr>
            <w:tcW w:w="1812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Слой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Реализация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Клиент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React SPA (Phenograph), </w:t>
            </w:r>
            <w:r>
              <w:rPr>
                <w:rStyle w:val="SourceText"/>
              </w:rPr>
              <w:t>frontend.rusted-apple.com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Вход в кластер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Ingress + TLS (демо-стенд: системный nginx + Let's Encrypt); CORS, rate-limit, заголовки безопасности (CSP/HSTS)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API-шлюз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nginx, маршрутизация по префиксу пути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Сервисы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7 сервисов Rust/Axum (порты 3001–3007) как </w:t>
            </w:r>
            <w:r>
              <w:rPr>
                <w:rStyle w:val="Strong"/>
              </w:rPr>
              <w:t>Deployments</w:t>
            </w:r>
            <w:r>
              <w:rPr/>
              <w:t xml:space="preserve"> (демо-стенд: systemd, </w:t>
            </w:r>
            <w:r>
              <w:rPr>
                <w:rStyle w:val="SourceText"/>
              </w:rPr>
              <w:t>Restart=always</w:t>
            </w:r>
            <w:r>
              <w:rPr/>
              <w:t>)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Шина сообщений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Apache Kafka 3.7</w:t>
            </w:r>
          </w:p>
        </w:tc>
      </w:tr>
      <w:tr>
        <w:trPr/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Хранилища</w:t>
            </w:r>
          </w:p>
        </w:tc>
        <w:tc>
          <w:tcPr>
            <w:tcW w:w="8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 16, Redis 7, MinIO (S3), Elasticsearch 8 — как StatefulSets/тома в кластере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4.3. Сквозной поток анализа (end-to-end)</w:t>
      </w:r>
    </w:p>
    <w:p>
      <w:pPr>
        <w:pStyle w:val="Heading4"/>
        <w:bidi w:val="0"/>
        <w:jc w:val="left"/>
        <w:rPr/>
      </w:pPr>
      <w:r>
        <w:rPr/>
        <w:t>Поток врача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</w:rPr>
        <w:t>POST /cases</w:t>
      </w:r>
      <w:r>
        <w:rPr/>
        <w:t xml:space="preserve"> — создаётся кейс (статус </w:t>
      </w:r>
      <w:r>
        <w:rPr>
          <w:rStyle w:val="SourceText"/>
        </w:rPr>
        <w:t>pending</w:t>
      </w:r>
      <w:r>
        <w:rPr/>
        <w:t xml:space="preserve">), возвращается presigned-URL для загрузки.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Браузер кладёт изображение </w:t>
      </w:r>
      <w:r>
        <w:rPr>
          <w:rStyle w:val="SourceText"/>
        </w:rPr>
        <w:t>PUT</w:t>
      </w:r>
      <w:r>
        <w:rPr/>
        <w:t xml:space="preserve">-запросом прямо в MinIO/S3 (без участия сервера).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</w:rPr>
        <w:t>POST /cases/{id}/confirm-upload</w:t>
      </w:r>
      <w:r>
        <w:rPr/>
        <w:t xml:space="preserve"> — сервис проверяет наличие объекта (HEAD), переводит кейс в </w:t>
      </w:r>
      <w:r>
        <w:rPr>
          <w:rStyle w:val="SourceText"/>
        </w:rPr>
        <w:t>processing</w:t>
      </w:r>
      <w:r>
        <w:rPr/>
        <w:t xml:space="preserve"> и публикует </w:t>
      </w:r>
      <w:r>
        <w:rPr>
          <w:rStyle w:val="SourceText"/>
        </w:rPr>
        <w:t>AnalysisRequest</w:t>
      </w:r>
      <w:r>
        <w:rPr/>
        <w:t xml:space="preserve"> в топик </w:t>
      </w:r>
      <w:r>
        <w:rPr>
          <w:rStyle w:val="SourceText"/>
        </w:rPr>
        <w:t>analysis.requests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Recognition-сервис читает запрос из Kafka, имитирует инференс, публикует </w:t>
      </w:r>
      <w:r>
        <w:rPr>
          <w:rStyle w:val="SourceText"/>
        </w:rPr>
        <w:t>AnalysisResult</w:t>
      </w:r>
      <w:r>
        <w:rPr/>
        <w:t xml:space="preserve"> в </w:t>
      </w:r>
      <w:r>
        <w:rPr>
          <w:rStyle w:val="SourceText"/>
        </w:rPr>
        <w:t>analysis.results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Case-сервис потребляет результат: сохраняет ранжированные диагнозы, переводит кейс в </w:t>
      </w:r>
      <w:r>
        <w:rPr>
          <w:rStyle w:val="SourceText"/>
        </w:rPr>
        <w:t>completed</w:t>
      </w:r>
      <w:r>
        <w:rPr/>
        <w:t xml:space="preserve">, публикует уведомление в </w:t>
      </w:r>
      <w:r>
        <w:rPr>
          <w:rStyle w:val="SourceText"/>
        </w:rPr>
        <w:t>notifications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Notifier сохраняет уведомление в БД (и, при настроенном SMTP, отправляет письмо).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Фронтенд опрашивает </w:t>
      </w:r>
      <w:r>
        <w:rPr>
          <w:rStyle w:val="SourceText"/>
        </w:rPr>
        <w:t>GET /cases/{id}</w:t>
      </w:r>
      <w:r>
        <w:rPr/>
        <w:t xml:space="preserve"> каждые 2 с, пока статус не станет </w:t>
      </w:r>
      <w:r>
        <w:rPr>
          <w:rStyle w:val="SourceText"/>
        </w:rPr>
        <w:t>completed</w:t>
      </w:r>
      <w:r>
        <w:rPr/>
        <w:t xml:space="preserve">, и показывает диагнозы. </w:t>
      </w:r>
    </w:p>
    <w:p>
      <w:pPr>
        <w:pStyle w:val="Heading4"/>
        <w:bidi w:val="0"/>
        <w:jc w:val="left"/>
        <w:rPr/>
      </w:pPr>
      <w:r>
        <w:rPr/>
        <w:t>Поток лаборатории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</w:rPr>
        <w:t>POST /labs/batch</w:t>
      </w:r>
      <w:r>
        <w:rPr/>
        <w:t xml:space="preserve"> — проверка роли </w:t>
      </w:r>
      <w:r>
        <w:rPr>
          <w:rStyle w:val="SourceText"/>
        </w:rPr>
        <w:t>lab</w:t>
      </w:r>
      <w:r>
        <w:rPr/>
        <w:t xml:space="preserve"> → ограничитель запросов (Redis) → проверка квоты в биллинге → создание пакета и его элементов → по одному </w:t>
      </w:r>
      <w:r>
        <w:rPr>
          <w:rStyle w:val="SourceText"/>
        </w:rPr>
        <w:t>AnalysisRequest</w:t>
      </w:r>
      <w:r>
        <w:rPr/>
        <w:t xml:space="preserve"> на каждое изображение (source = </w:t>
      </w:r>
      <w:r>
        <w:rPr>
          <w:rStyle w:val="SourceText"/>
        </w:rPr>
        <w:t>lab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Recognition обрабатывает каждый запрос и возвращает результат с тем же </w:t>
      </w:r>
      <w:r>
        <w:rPr>
          <w:rStyle w:val="SourceText"/>
        </w:rPr>
        <w:t>batch_id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Labs-сервис потребляет результаты (фильтруя </w:t>
      </w:r>
      <w:r>
        <w:rPr>
          <w:rStyle w:val="SourceText"/>
        </w:rPr>
        <w:t>source = lab</w:t>
      </w:r>
      <w:r>
        <w:rPr/>
        <w:t xml:space="preserve">), помечает элементы пакета как </w:t>
      </w:r>
      <w:r>
        <w:rPr>
          <w:rStyle w:val="SourceText"/>
        </w:rPr>
        <w:t>completed</w:t>
      </w:r>
      <w:r>
        <w:rPr/>
        <w:t xml:space="preserve"> и инкрементирует счётчик обработанных; когда обработаны все — пакет становится </w:t>
      </w:r>
      <w:r>
        <w:rPr>
          <w:rStyle w:val="SourceText"/>
        </w:rPr>
        <w:t>completed</w:t>
      </w:r>
      <w:r>
        <w:rPr/>
        <w:t xml:space="preserve">. </w:t>
      </w:r>
    </w:p>
    <w:p>
      <w:pPr>
        <w:pStyle w:val="Heading2pb"/>
        <w:bidi w:val="0"/>
        <w:jc w:val="left"/>
        <w:rPr/>
      </w:pPr>
      <w:r>
        <w:rPr/>
        <w:t>5. Бэкенд: микросервисы и данные</w:t>
      </w:r>
    </w:p>
    <w:p>
      <w:pPr>
        <w:pStyle w:val="Heading3"/>
        <w:bidi w:val="0"/>
        <w:jc w:val="left"/>
        <w:rPr/>
      </w:pPr>
      <w:r>
        <w:rPr/>
        <w:t>5.1. Общие принципы</w:t>
      </w:r>
    </w:p>
    <w:p>
      <w:pPr>
        <w:pStyle w:val="BodyText"/>
        <w:bidi w:val="0"/>
        <w:rPr/>
      </w:pPr>
      <w:r>
        <w:rPr/>
        <w:t xml:space="preserve">Все сервисы написаны на Rust поверх Axum и разделяют общую библиотеку </w:t>
      </w:r>
      <w:r>
        <w:rPr>
          <w:rStyle w:val="SourceText"/>
        </w:rPr>
        <w:t>oblivion-common</w:t>
      </w:r>
      <w:r>
        <w:rPr/>
        <w:t>, которая задаёт единые контракты: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Единый JSON-конверт ответа</w:t>
      </w:r>
      <w:r>
        <w:rPr/>
        <w:t xml:space="preserve"> </w:t>
      </w:r>
      <w:r>
        <w:rPr>
          <w:rStyle w:val="SourceText"/>
        </w:rPr>
        <w:t>ApiResponse</w:t>
      </w:r>
      <w:r>
        <w:rPr/>
        <w:t xml:space="preserve">: </w:t>
      </w:r>
      <w:r>
        <w:rPr>
          <w:rStyle w:val="SourceText"/>
        </w:rPr>
        <w:t>{ "status": "ok"|"error", "data": …|null, "error": …|null }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Единый тип ошибки</w:t>
      </w:r>
      <w:r>
        <w:rPr/>
        <w:t xml:space="preserve"> </w:t>
      </w:r>
      <w:r>
        <w:rPr>
          <w:rStyle w:val="SourceText"/>
        </w:rPr>
        <w:t>ServiceError</w:t>
      </w:r>
      <w:r>
        <w:rPr/>
        <w:t xml:space="preserve"> с отображением на HTTP-коды (404/400/401/403/409/500).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Строго типизированные идентификаторы</w:t>
      </w:r>
      <w:r>
        <w:rPr/>
        <w:t xml:space="preserve"> (UserId, CaseId, LabId, SyndromeId, BatchId).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Доменные перечисления</w:t>
      </w:r>
      <w:r>
        <w:rPr/>
        <w:t xml:space="preserve"> Role (doctor/lab/admin), AnalysisStatus, AnalysisSource.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Константы топиков и структуры сообщений Kafka</w:t>
      </w:r>
      <w:r>
        <w:rPr/>
        <w:t xml:space="preserve"> (</w:t>
      </w:r>
      <w:r>
        <w:rPr>
          <w:rStyle w:val="SourceText"/>
        </w:rPr>
        <w:t>AnalysisRequest</w:t>
      </w:r>
      <w:r>
        <w:rPr/>
        <w:t xml:space="preserve">, </w:t>
      </w:r>
      <w:r>
        <w:rPr>
          <w:rStyle w:val="SourceText"/>
        </w:rPr>
        <w:t>AnalysisResult</w:t>
      </w:r>
      <w:r>
        <w:rPr/>
        <w:t xml:space="preserve">, </w:t>
      </w:r>
      <w:r>
        <w:rPr>
          <w:rStyle w:val="SourceText"/>
        </w:rPr>
        <w:t>DiagnosisEntry</w:t>
      </w:r>
      <w:r>
        <w:rPr/>
        <w:t xml:space="preserve">, </w:t>
      </w:r>
      <w:r>
        <w:rPr>
          <w:rStyle w:val="SourceText"/>
        </w:rPr>
        <w:t>NotificationMessage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Слой CORS</w:t>
      </w:r>
      <w:r>
        <w:rPr/>
        <w:t xml:space="preserve">, управляемый переменной </w:t>
      </w:r>
      <w:r>
        <w:rPr>
          <w:rStyle w:val="SourceText"/>
        </w:rPr>
        <w:t>CORS_ALLOWED_ORIGIN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Качество кода: запрещён </w:t>
      </w:r>
      <w:r>
        <w:rPr>
          <w:rStyle w:val="SourceText"/>
        </w:rPr>
        <w:t>unsafe</w:t>
      </w:r>
      <w:r>
        <w:rPr/>
        <w:t>, включён строгий линт (</w:t>
      </w:r>
      <w:r>
        <w:rPr>
          <w:rStyle w:val="SourceText"/>
        </w:rPr>
        <w:t>clippy::pedantic</w:t>
      </w:r>
      <w:r>
        <w:rPr/>
        <w:t>), модули покрыты юнит-тестами (сериализация контрактов, генератор диагнозов, биллинговая арифметика и т.д.).</w:t>
      </w:r>
    </w:p>
    <w:p>
      <w:pPr>
        <w:pStyle w:val="BodyTextcodecap"/>
        <w:bidi w:val="0"/>
        <w:rPr/>
      </w:pPr>
      <w:r>
        <w:rPr/>
        <w:t>Единый конверт ответа (</w:t>
      </w:r>
      <w:r>
        <w:rPr>
          <w:rStyle w:val="SourceText"/>
        </w:rPr>
        <w:t>crates/oblivion-common</w:t>
      </w:r>
      <w:r>
        <w:rPr/>
        <w:t>):</w:t>
      </w:r>
    </w:p>
    <w:p>
      <w:pPr>
        <w:pStyle w:val="PreformattedText"/>
        <w:bidi w:val="0"/>
        <w:jc w:val="left"/>
        <w:rPr/>
      </w:pPr>
      <w:r>
        <w:rPr/>
        <w:t>// один и тот же конверт возвращает каждый HTTP-эндпоинт платформы</w:t>
      </w:r>
    </w:p>
    <w:p>
      <w:pPr>
        <w:pStyle w:val="PreformattedText"/>
        <w:bidi w:val="0"/>
        <w:jc w:val="left"/>
        <w:rPr/>
      </w:pPr>
      <w:r>
        <w:rPr/>
        <w:t>pub struct ApiResponse&lt;T: Serialize&gt;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status: &amp;'static str,   // "ok" | "error"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data:   Option&lt;T&gt;,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error:  Option&lt;String&gt;,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  <w:t>impl&lt;T: Serialize&gt; ApiResponse&lt;T&gt;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fn ok(data: T) -&gt; Self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Self { status: "ok", data: Some(data), error: None 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fn error(msg: impl Into&lt;String&gt;) -&gt; Self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Self { status: "error", data: None, error: Some(msg.into()) 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BodyTextcodecap"/>
        <w:bidi w:val="0"/>
        <w:rPr/>
      </w:pPr>
      <w:r>
        <w:rPr/>
        <w:t>Контракты сообщений Kafka — общие для продюсеров и консьюмеров (интеграционный «костяк» системы):</w:t>
      </w:r>
    </w:p>
    <w:p>
      <w:pPr>
        <w:pStyle w:val="PreformattedText"/>
        <w:bidi w:val="0"/>
        <w:jc w:val="left"/>
        <w:rPr/>
      </w:pPr>
      <w:r>
        <w:rPr/>
        <w:t>pub struct AnalysisRequest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request_id: Uuid,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case_id:    Uuid,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image_key:  String,            // ключ объекта в S3/MinIO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source:     AnalysisSource,    // Doctor | Lab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batch_id:   Option&lt;Uuid&gt;,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patient_ethnicity: Option&lt;String&gt;,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requested_at: DateTime&lt;Utc&gt;,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  <w:t>pub struct DiagnosisEntry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syndrome_id:   Uuid,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syndrome_name: String,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confidence:    f64,   // [0.0, 1.0]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rank:          i32,   // 1 = наиболее вероятный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  <w:t>pub struct AnalysisResult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request_id:    Uuid,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case_id:       Uuid,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source:        AnalysisSource,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batch_id:      Option&lt;Uuid&gt;,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top_diagnoses: Vec&lt;DiagnosisEntry&gt;,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processing_time_ms: u64,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completed_at:  DateTime&lt;Utc&gt;,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>5.2. Карта сервисов</w:t>
      </w:r>
    </w:p>
    <w:tbl>
      <w:tblPr>
        <w:tblW w:w="105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0"/>
        <w:gridCol w:w="809"/>
        <w:gridCol w:w="3541"/>
        <w:gridCol w:w="1964"/>
        <w:gridCol w:w="2786"/>
      </w:tblGrid>
      <w:tr>
        <w:trPr/>
        <w:tc>
          <w:tcPr>
            <w:tcW w:w="1400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Сервис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Порт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Назначение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Хранилища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Kafka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auth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3001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Регистрация, вход, JWT, refresh, профиль, выход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PostgreSQL, Redis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case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3002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CRUD кейсов, presigned-загрузка, запуск анализа, сохранение диагнозов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PostgreSQL, MinIO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publish requests / consume results / publish notifications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labs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3003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Пакеты лабораторий, результаты, потребление, тарифы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PostgreSQL, Redis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publish requests / consume results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recognition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3004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«Инференс» (заглушка): top-10 синдромов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— </w:t>
            </w:r>
            <w:r>
              <w:rPr/>
              <w:t>(каталог в коде)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consume requests / publish results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notifier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3005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Список уведомлений, отметка прочитанным, рассылка e-mail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consume notifications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reference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3006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Справочник синдромов и HPO, поиск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PostgreSQL, Elasticsearch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billing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3007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Тарифы, подписки, учёт потребления, проверка квоты</w:t>
            </w:r>
          </w:p>
        </w:tc>
        <w:tc>
          <w:tcPr>
            <w:tcW w:w="196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PostgreSQL, Redis</w:t>
            </w:r>
          </w:p>
        </w:tc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5.3. Сервисы подробно</w:t>
      </w:r>
    </w:p>
    <w:p>
      <w:pPr>
        <w:pStyle w:val="Heading4"/>
        <w:bidi w:val="0"/>
        <w:jc w:val="left"/>
        <w:rPr/>
      </w:pPr>
      <w:r>
        <w:rPr/>
        <w:t>auth (3001)</w:t>
      </w:r>
    </w:p>
    <w:p>
      <w:pPr>
        <w:pStyle w:val="BodyText"/>
        <w:bidi w:val="0"/>
        <w:rPr/>
      </w:pPr>
      <w:r>
        <w:rPr/>
        <w:t xml:space="preserve">Пароли хешируются </w:t>
      </w:r>
      <w:r>
        <w:rPr>
          <w:rStyle w:val="Strong"/>
        </w:rPr>
        <w:t>Argon2id</w:t>
      </w:r>
      <w:r>
        <w:rPr/>
        <w:t xml:space="preserve">. При входе выдаётся пара токенов: короткоживущий access-JWT и refresh-токен (случайный UUID, в БД хранится его SHA-256-хеш). </w:t>
      </w:r>
      <w:r>
        <w:rPr>
          <w:rStyle w:val="SourceText"/>
        </w:rPr>
        <w:t>POST /auth/refresh</w:t>
      </w:r>
      <w:r>
        <w:rPr/>
        <w:t xml:space="preserve"> выполняет </w:t>
      </w:r>
      <w:r>
        <w:rPr>
          <w:rStyle w:val="Strong"/>
        </w:rPr>
        <w:t>ротацию</w:t>
      </w:r>
      <w:r>
        <w:rPr/>
        <w:t xml:space="preserve"> (старый refresh удаляется, выдаётся новый). </w:t>
      </w:r>
      <w:r>
        <w:rPr>
          <w:rStyle w:val="SourceText"/>
        </w:rPr>
        <w:t>DELETE /auth/logout</w:t>
      </w:r>
      <w:r>
        <w:rPr/>
        <w:t xml:space="preserve"> удаляет refresh из БД и помещает access в чёрный список Redis на остаток времени жизни. JWT подписывается RS256 (при наличии RSA-ключей) с откатом на HS256.</w:t>
      </w:r>
    </w:p>
    <w:p>
      <w:pPr>
        <w:pStyle w:val="BodyTextcodecap"/>
        <w:bidi w:val="0"/>
        <w:rPr/>
      </w:pPr>
      <w:r>
        <w:rPr/>
        <w:t>Хеширование пароля (Argon2id) и полезная нагрузка access-токена:</w:t>
      </w:r>
    </w:p>
    <w:p>
      <w:pPr>
        <w:pStyle w:val="PreformattedText"/>
        <w:bidi w:val="0"/>
        <w:jc w:val="left"/>
        <w:rPr/>
      </w:pPr>
      <w:r>
        <w:rPr/>
        <w:t>// регистрация: соль + Argon2id</w:t>
      </w:r>
    </w:p>
    <w:p>
      <w:pPr>
        <w:pStyle w:val="PreformattedText"/>
        <w:bidi w:val="0"/>
        <w:jc w:val="left"/>
        <w:rPr/>
      </w:pPr>
      <w:r>
        <w:rPr/>
        <w:t>let salt = SaltString::generate(&amp;mut OsRng);</w:t>
      </w:r>
    </w:p>
    <w:p>
      <w:pPr>
        <w:pStyle w:val="PreformattedText"/>
        <w:bidi w:val="0"/>
        <w:jc w:val="left"/>
        <w:rPr/>
      </w:pPr>
      <w:r>
        <w:rPr/>
        <w:t>let password_hash = Argon2::default()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.hash_password(body.password.as_bytes(), &amp;salt)?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.to_string();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// полезная нагрузка RS256 JWT</w:t>
      </w:r>
    </w:p>
    <w:p>
      <w:pPr>
        <w:pStyle w:val="PreformattedText"/>
        <w:bidi w:val="0"/>
        <w:jc w:val="left"/>
        <w:rPr/>
      </w:pPr>
      <w:r>
        <w:rPr/>
        <w:t>pub struct Claims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sub:   String,   // UUID пользователя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email: String,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role:  String,   // "doctor" | "lab" | "admin"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exp:   usize,    // срок действия (Unix-время)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 iat:   usize,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Heading4"/>
        <w:bidi w:val="0"/>
        <w:jc w:val="left"/>
        <w:rPr/>
      </w:pPr>
      <w:r>
        <w:rPr/>
        <w:t>case (3002)</w:t>
      </w:r>
    </w:p>
    <w:p>
      <w:pPr>
        <w:pStyle w:val="BodyText"/>
        <w:bidi w:val="0"/>
        <w:rPr/>
      </w:pPr>
      <w:r>
        <w:rPr/>
        <w:t xml:space="preserve">Сердце врачебного сценария. Создаёт кейс и генерирует presigned PUT-URL (окно 15 минут) для прямой загрузки в MinIO. На подтверждении проверяет наличие объекта (HEAD), переводит кейс в </w:t>
      </w:r>
      <w:r>
        <w:rPr>
          <w:rStyle w:val="SourceText"/>
        </w:rPr>
        <w:t>processing</w:t>
      </w:r>
      <w:r>
        <w:rPr/>
        <w:t xml:space="preserve"> и публикует запрос в Kafka. Фоновый consumer на </w:t>
      </w:r>
      <w:r>
        <w:rPr>
          <w:rStyle w:val="SourceText"/>
        </w:rPr>
        <w:t>analysis.results</w:t>
      </w:r>
      <w:r>
        <w:rPr/>
        <w:t xml:space="preserve"> сохраняет диагнозы, ставит статус </w:t>
      </w:r>
      <w:r>
        <w:rPr>
          <w:rStyle w:val="SourceText"/>
        </w:rPr>
        <w:t>completed</w:t>
      </w:r>
      <w:r>
        <w:rPr/>
        <w:t xml:space="preserve"> и публикует уведомление. Проверка владения: кейс доступен только создавшему его пользователю.</w:t>
      </w:r>
    </w:p>
    <w:p>
      <w:pPr>
        <w:pStyle w:val="BodyTextcodecap"/>
        <w:bidi w:val="0"/>
        <w:rPr/>
      </w:pPr>
      <w:r>
        <w:rPr/>
        <w:t>Подтверждение загрузки запускает асинхронный анализ (</w:t>
      </w:r>
      <w:r>
        <w:rPr>
          <w:rStyle w:val="SourceText"/>
        </w:rPr>
        <w:t>confirm_upload</w:t>
      </w:r>
      <w:r>
        <w:rPr/>
        <w:t>):</w:t>
      </w:r>
    </w:p>
    <w:p>
      <w:pPr>
        <w:pStyle w:val="PreformattedText"/>
        <w:bidi w:val="0"/>
        <w:jc w:val="left"/>
        <w:rPr/>
      </w:pPr>
      <w:r>
        <w:rPr/>
        <w:t>let case = load_owned_case(&amp;state, auth.user_id, id).await?;</w:t>
      </w:r>
    </w:p>
    <w:p>
      <w:pPr>
        <w:pStyle w:val="PreformattedText"/>
        <w:bidi w:val="0"/>
        <w:jc w:val="left"/>
        <w:rPr/>
      </w:pPr>
      <w:r>
        <w:rPr/>
        <w:t>if case.status != "pending"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Err(CaseError::InvalidState { current: case.status });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  <w:t>// объект действительно загружен в хранилище?</w:t>
      </w:r>
    </w:p>
    <w:p>
      <w:pPr>
        <w:pStyle w:val="PreformattedText"/>
        <w:bidi w:val="0"/>
        <w:jc w:val="left"/>
        <w:rPr/>
      </w:pPr>
      <w:r>
        <w:rPr/>
        <w:t>if !s3::check_object_exists(&amp;state.s3, bucket, &amp;case.image_key).await?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Err(CaseError::ImageNotFound { key: case.image_key });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  <w:t>db::update_case_status(&amp;state.pool, id, "processing").await?;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let request = AnalysisRequest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request_id: Uuid::new_v4(),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case_id: id,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image_key: case.image_key,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source: AnalysisSource::Doctor,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batch_id: None,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patient_ethnicity: case.patient_ethnicity,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requested_at: Utc::now(),</w:t>
      </w:r>
    </w:p>
    <w:p>
      <w:pPr>
        <w:pStyle w:val="PreformattedText"/>
        <w:bidi w:val="0"/>
        <w:jc w:val="left"/>
        <w:rPr/>
      </w:pPr>
      <w:r>
        <w:rPr/>
        <w:t>};</w:t>
      </w:r>
    </w:p>
    <w:p>
      <w:pPr>
        <w:pStyle w:val="PreformattedText"/>
        <w:bidi w:val="0"/>
        <w:jc w:val="left"/>
        <w:rPr/>
      </w:pPr>
      <w:r>
        <w:rPr/>
        <w:t>kafka::publish_analysis_request(&amp;state.producer, request).await?;  // → analysis.requests</w:t>
      </w:r>
    </w:p>
    <w:p>
      <w:pPr>
        <w:pStyle w:val="Heading4"/>
        <w:bidi w:val="0"/>
        <w:jc w:val="left"/>
        <w:rPr/>
      </w:pPr>
      <w:r>
        <w:rPr/>
        <w:t>labs (3003)</w:t>
      </w:r>
    </w:p>
    <w:p>
      <w:pPr>
        <w:pStyle w:val="BodyText"/>
        <w:bidi w:val="0"/>
        <w:rPr/>
      </w:pPr>
      <w:r>
        <w:rPr/>
        <w:t xml:space="preserve">Принимает пакет ключей изображений, последовательно: проверяет роль </w:t>
      </w:r>
      <w:r>
        <w:rPr>
          <w:rStyle w:val="SourceText"/>
        </w:rPr>
        <w:t>lab</w:t>
      </w:r>
      <w:r>
        <w:rPr/>
        <w:t xml:space="preserve">, применяет </w:t>
      </w:r>
      <w:r>
        <w:rPr>
          <w:rStyle w:val="Strong"/>
        </w:rPr>
        <w:t>ограничитель частоты</w:t>
      </w:r>
      <w:r>
        <w:rPr/>
        <w:t xml:space="preserve"> (Redis, 10 запросов/мин на лабораторию), </w:t>
      </w:r>
      <w:r>
        <w:rPr>
          <w:rStyle w:val="Strong"/>
        </w:rPr>
        <w:t>проверяет квоту</w:t>
      </w:r>
      <w:r>
        <w:rPr/>
        <w:t xml:space="preserve"> через биллинг (с 30-секундным кэшем в Redis), создаёт пакет и элементы, публикует по одному запросу на изображение. Эндпоинты потребления и тарифов проксируют биллинг-сервис.</w:t>
      </w:r>
    </w:p>
    <w:p>
      <w:pPr>
        <w:pStyle w:val="Heading4"/>
        <w:bidi w:val="0"/>
        <w:jc w:val="left"/>
        <w:rPr/>
      </w:pPr>
      <w:r>
        <w:rPr/>
        <w:t>billing (3007)</w:t>
      </w:r>
    </w:p>
    <w:p>
      <w:pPr>
        <w:pStyle w:val="BodyText"/>
        <w:bidi w:val="0"/>
        <w:rPr/>
      </w:pPr>
      <w:r>
        <w:rPr/>
        <w:t xml:space="preserve">Хранит тарифы (засеяны Bronze/Silver/Gold/Platinum/Bundle), подписки и помесячный учёт. </w:t>
      </w:r>
      <w:r>
        <w:rPr>
          <w:rStyle w:val="SourceText"/>
        </w:rPr>
        <w:t>check-quota</w:t>
      </w:r>
      <w:r>
        <w:rPr/>
        <w:t xml:space="preserve"> — внутренний эндпоинт: при исчерпании квоты возвращает </w:t>
      </w:r>
      <w:r>
        <w:rPr>
          <w:rStyle w:val="SourceText"/>
        </w:rPr>
        <w:t>429</w:t>
      </w:r>
      <w:r>
        <w:rPr/>
        <w:t xml:space="preserve"> с заголовком </w:t>
      </w:r>
      <w:r>
        <w:rPr>
          <w:rStyle w:val="SourceText"/>
        </w:rPr>
        <w:t>Retry-After</w:t>
      </w:r>
      <w:r>
        <w:rPr/>
        <w:t xml:space="preserve"> (секунды до начала следующего месяца). Счётчик потребления дублируется в Redis (быстрый путь) и в PostgreSQL (источник истины).</w:t>
      </w:r>
    </w:p>
    <w:p>
      <w:pPr>
        <w:pStyle w:val="Heading4"/>
        <w:bidi w:val="0"/>
        <w:jc w:val="left"/>
        <w:rPr/>
      </w:pPr>
      <w:r>
        <w:rPr/>
        <w:t>recognition (3004)</w:t>
      </w:r>
    </w:p>
    <w:p>
      <w:pPr>
        <w:pStyle w:val="BodyText"/>
        <w:bidi w:val="0"/>
        <w:rPr/>
      </w:pPr>
      <w:r>
        <w:rPr/>
        <w:t xml:space="preserve">См. отдельный раздел 6. Кратко: каталог 50 синдромов, случайный top-10, имитация задержки 0,5–2 с, прямой эндпоинт </w:t>
      </w:r>
      <w:r>
        <w:rPr>
          <w:rStyle w:val="SourceText"/>
        </w:rPr>
        <w:t>POST /recognize</w:t>
      </w:r>
      <w:r>
        <w:rPr/>
        <w:t xml:space="preserve"> для тестов + основной режим — consumer Kafka.</w:t>
      </w:r>
    </w:p>
    <w:p>
      <w:pPr>
        <w:pStyle w:val="Heading4"/>
        <w:bidi w:val="0"/>
        <w:jc w:val="left"/>
        <w:rPr/>
      </w:pPr>
      <w:r>
        <w:rPr/>
        <w:t>notifier (3005)</w:t>
      </w:r>
    </w:p>
    <w:p>
      <w:pPr>
        <w:pStyle w:val="BodyText"/>
        <w:bidi w:val="0"/>
        <w:rPr/>
      </w:pPr>
      <w:r>
        <w:rPr/>
        <w:t xml:space="preserve">Consumer топика </w:t>
      </w:r>
      <w:r>
        <w:rPr>
          <w:rStyle w:val="SourceText"/>
        </w:rPr>
        <w:t>notifications</w:t>
      </w:r>
      <w:r>
        <w:rPr/>
        <w:t xml:space="preserve">: сохраняет уведомление в БД и пытается отправить e-mail через SMTP (в dev-режиме </w:t>
      </w:r>
      <w:r>
        <w:rPr>
          <w:rStyle w:val="SourceText"/>
        </w:rPr>
        <w:t>localhost:1025</w:t>
      </w:r>
      <w:r>
        <w:rPr/>
        <w:t xml:space="preserve"> — только логирует намерение). HTTP-эндпоинты: список уведомлений пользователя и отметка прочитанным.</w:t>
      </w:r>
    </w:p>
    <w:p>
      <w:pPr>
        <w:pStyle w:val="Heading4"/>
        <w:bidi w:val="0"/>
        <w:jc w:val="left"/>
        <w:rPr/>
      </w:pPr>
      <w:r>
        <w:rPr/>
        <w:t>reference (3006)</w:t>
      </w:r>
    </w:p>
    <w:p>
      <w:pPr>
        <w:pStyle w:val="BodyText"/>
        <w:bidi w:val="0"/>
        <w:rPr/>
      </w:pPr>
      <w:r>
        <w:rPr/>
        <w:t xml:space="preserve">Справочные данные только для чтения. Полнотекстовый поиск сначала пробует Elasticsearch, при недоступности или пустом индексе </w:t>
      </w:r>
      <w:r>
        <w:rPr>
          <w:rStyle w:val="Strong"/>
        </w:rPr>
        <w:t>прозрачно откатывается</w:t>
      </w:r>
      <w:r>
        <w:rPr/>
        <w:t xml:space="preserve"> на </w:t>
      </w:r>
      <w:r>
        <w:rPr>
          <w:rStyle w:val="SourceText"/>
        </w:rPr>
        <w:t>ILIKE</w:t>
      </w:r>
      <w:r>
        <w:rPr/>
        <w:t xml:space="preserve"> в PostgreSQL. Карточка синдрома отдаётся вместе со связанными HPO-терминами.</w:t>
      </w:r>
    </w:p>
    <w:p>
      <w:pPr>
        <w:pStyle w:val="Heading3"/>
        <w:bidi w:val="0"/>
        <w:jc w:val="left"/>
        <w:rPr/>
      </w:pPr>
      <w:r>
        <w:rPr/>
        <w:t>5.4. Модель данных</w:t>
      </w:r>
    </w:p>
    <w:tbl>
      <w:tblPr>
        <w:tblW w:w="105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"/>
        <w:gridCol w:w="9367"/>
      </w:tblGrid>
      <w:tr>
        <w:trPr/>
        <w:tc>
          <w:tcPr>
            <w:tcW w:w="1133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Схема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Таблицы (ключевые поля)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users</w:t>
            </w:r>
            <w:r>
              <w:rPr/>
              <w:t xml:space="preserve"> (email, password_hash, role, name, organization), </w:t>
            </w:r>
            <w:r>
              <w:rPr>
                <w:rStyle w:val="SourceText"/>
              </w:rPr>
              <w:t>refresh_tokens</w:t>
            </w:r>
            <w:r>
              <w:rPr/>
              <w:t xml:space="preserve"> (token_hash, expires_at)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cases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cases</w:t>
            </w:r>
            <w:r>
              <w:rPr/>
              <w:t xml:space="preserve"> (user_id, patient_name/age/ethnicity, image_key, status), </w:t>
            </w:r>
            <w:r>
              <w:rPr>
                <w:rStyle w:val="SourceText"/>
              </w:rPr>
              <w:t>diagnoses</w:t>
            </w:r>
            <w:r>
              <w:rPr/>
              <w:t xml:space="preserve"> (case_id, syndrome_name, confidence, rank)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labs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batches</w:t>
            </w:r>
            <w:r>
              <w:rPr/>
              <w:t xml:space="preserve"> (lab_id, status, total/processed_items), </w:t>
            </w:r>
            <w:r>
              <w:rPr>
                <w:rStyle w:val="SourceText"/>
              </w:rPr>
              <w:t>batch_items</w:t>
            </w:r>
            <w:r>
              <w:rPr/>
              <w:t xml:space="preserve"> (batch_id, image_key, case_id, status)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billing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plans</w:t>
            </w:r>
            <w:r>
              <w:rPr/>
              <w:t xml:space="preserve"> (name, monthly_limit, overage_price_cents), </w:t>
            </w:r>
            <w:r>
              <w:rPr>
                <w:rStyle w:val="SourceText"/>
              </w:rPr>
              <w:t>subscriptions</w:t>
            </w:r>
            <w:r>
              <w:rPr/>
              <w:t xml:space="preserve"> (lab_id, plan_id, status), </w:t>
            </w:r>
            <w:r>
              <w:rPr>
                <w:rStyle w:val="SourceText"/>
              </w:rPr>
              <w:t>usage_records</w:t>
            </w:r>
            <w:r>
              <w:rPr/>
              <w:t xml:space="preserve"> (lab_id, month, count)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notifier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notifications</w:t>
            </w:r>
            <w:r>
              <w:rPr/>
              <w:t xml:space="preserve"> (user_id, type, title, body, read, metadata JSONB)</w:t>
            </w:r>
          </w:p>
        </w:tc>
      </w:tr>
      <w:tr>
        <w:trPr/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reference</w:t>
            </w:r>
          </w:p>
        </w:tc>
        <w:tc>
          <w:tcPr>
            <w:tcW w:w="93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syndromes</w:t>
            </w:r>
            <w:r>
              <w:rPr/>
              <w:t xml:space="preserve"> (name, omim_id, description, prevalence, inheritance), </w:t>
            </w:r>
            <w:r>
              <w:rPr>
                <w:rStyle w:val="SourceText"/>
              </w:rPr>
              <w:t>hpo_terms</w:t>
            </w:r>
            <w:r>
              <w:rPr/>
              <w:t xml:space="preserve"> (hpo_id, name, definition, parent_id), </w:t>
            </w:r>
            <w:r>
              <w:rPr>
                <w:rStyle w:val="SourceText"/>
              </w:rPr>
              <w:t>syndrome_hpo</w:t>
            </w:r>
            <w:r>
              <w:rPr/>
              <w:t xml:space="preserve"> (связка M:N)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5.5. API и шлюз</w:t>
      </w:r>
    </w:p>
    <w:p>
      <w:pPr>
        <w:pStyle w:val="BodyText"/>
        <w:bidi w:val="0"/>
        <w:rPr/>
      </w:pPr>
      <w:r>
        <w:rPr/>
        <w:t xml:space="preserve">Все 24 операции описаны в рукописной спецификации </w:t>
      </w:r>
      <w:r>
        <w:rPr>
          <w:rStyle w:val="Strong"/>
        </w:rPr>
        <w:t>OpenAPI 3.1</w:t>
      </w:r>
      <w:r>
        <w:rPr/>
        <w:t xml:space="preserve"> (</w:t>
      </w:r>
      <w:r>
        <w:rPr>
          <w:rStyle w:val="SourceText"/>
        </w:rPr>
        <w:t>docs/openapi.yaml</w:t>
      </w:r>
      <w:r>
        <w:rPr/>
        <w:t xml:space="preserve">), к ней прилагается Swagger UI (в продакшн наружу не публикуется). Шлюз nginx маршрутизирует по префиксу: </w:t>
      </w:r>
      <w:r>
        <w:rPr>
          <w:rStyle w:val="SourceText"/>
        </w:rPr>
        <w:t>/auth/</w:t>
      </w:r>
      <w:r>
        <w:rPr/>
        <w:t xml:space="preserve">→auth, </w:t>
      </w:r>
      <w:r>
        <w:rPr>
          <w:rStyle w:val="SourceText"/>
        </w:rPr>
        <w:t>/cases</w:t>
      </w:r>
      <w:r>
        <w:rPr/>
        <w:t xml:space="preserve">→case, </w:t>
      </w:r>
      <w:r>
        <w:rPr>
          <w:rStyle w:val="SourceText"/>
        </w:rPr>
        <w:t>/labs/</w:t>
      </w:r>
      <w:r>
        <w:rPr/>
        <w:t xml:space="preserve">→labs, </w:t>
      </w:r>
      <w:r>
        <w:rPr>
          <w:rStyle w:val="SourceText"/>
        </w:rPr>
        <w:t>/recognize</w:t>
      </w:r>
      <w:r>
        <w:rPr/>
        <w:t xml:space="preserve">→recognition, </w:t>
      </w:r>
      <w:r>
        <w:rPr>
          <w:rStyle w:val="SourceText"/>
        </w:rPr>
        <w:t>/notifications</w:t>
      </w:r>
      <w:r>
        <w:rPr/>
        <w:t xml:space="preserve">→notifier, </w:t>
      </w:r>
      <w:r>
        <w:rPr>
          <w:rStyle w:val="SourceText"/>
        </w:rPr>
        <w:t>/reference/</w:t>
      </w:r>
      <w:r>
        <w:rPr/>
        <w:t xml:space="preserve">→reference, </w:t>
      </w:r>
      <w:r>
        <w:rPr>
          <w:rStyle w:val="SourceText"/>
        </w:rPr>
        <w:t>/billing/</w:t>
      </w:r>
      <w:r>
        <w:rPr/>
        <w:t xml:space="preserve">→billing; </w:t>
      </w:r>
      <w:r>
        <w:rPr>
          <w:rStyle w:val="SourceText"/>
        </w:rPr>
        <w:t>/healthz</w:t>
      </w:r>
      <w:r>
        <w:rPr/>
        <w:t xml:space="preserve"> — liveness. Полная таблица операций — в Приложении A.</w:t>
      </w:r>
    </w:p>
    <w:p>
      <w:pPr>
        <w:pStyle w:val="Heading2pb"/>
        <w:bidi w:val="0"/>
        <w:jc w:val="left"/>
        <w:rPr/>
      </w:pPr>
      <w:r>
        <w:rPr/>
        <w:t>6. Ядро распознавания (ML): текущее состояние и цель</w:t>
      </w:r>
    </w:p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8A3A2E"/>
              <w:left w:val="single" w:sz="2" w:space="0" w:color="8A3A2E"/>
              <w:bottom w:val="single" w:sz="2" w:space="0" w:color="8A3A2E"/>
              <w:right w:val="single" w:sz="2" w:space="0" w:color="8A3A2E"/>
            </w:tcBorders>
            <w:shd w:fill="F4DAD3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both"/>
              <w:rPr/>
            </w:pPr>
            <w:r>
              <w:rPr>
                <w:rStyle w:val="Strong"/>
              </w:rPr>
              <w:t>Текущее состояние — заглушка (stub).</w:t>
            </w:r>
            <w:r>
              <w:rPr/>
              <w:t xml:space="preserve"> Сервис </w:t>
            </w:r>
            <w:r>
              <w:rPr>
                <w:rStyle w:val="SourceText"/>
              </w:rPr>
              <w:t>recognition</w:t>
            </w:r>
            <w:r>
              <w:rPr/>
              <w:t xml:space="preserve"> </w:t>
            </w:r>
            <w:r>
              <w:rPr>
                <w:rStyle w:val="Emphasis"/>
              </w:rPr>
              <w:t>не анализирует изображение</w:t>
            </w:r>
            <w:r>
              <w:rPr/>
              <w:t xml:space="preserve">. Алгоритм: перемешать каталог из 50 синдромов, взять первые 10, присвоить им убывающие «оценки уверенности» (rank-1 — случайно из диапазона [0,30; 0,95), каждый следующий — умножение на множитель из [0,50; 0,90), что гарантирует строгое убывание), вернуть результат. Перед ответом — имитация задержки инференса 0,5–2 с. </w:t>
            </w:r>
          </w:p>
        </w:tc>
      </w:tr>
    </w:tbl>
    <w:p>
      <w:pPr>
        <w:pStyle w:val="BodyTextcodecap"/>
        <w:bidi w:val="0"/>
        <w:rPr/>
      </w:pPr>
      <w:r>
        <w:rPr/>
        <w:t>Ядро «инференса» MVP (</w:t>
      </w:r>
      <w:r>
        <w:rPr>
          <w:rStyle w:val="SourceText"/>
        </w:rPr>
        <w:t>recognition/generator.rs</w:t>
      </w:r>
      <w:r>
        <w:rPr/>
        <w:t>) — именно эту функцию заменит реальная модель:</w:t>
      </w:r>
    </w:p>
    <w:p>
      <w:pPr>
        <w:pStyle w:val="PreformattedText"/>
        <w:bidi w:val="0"/>
        <w:jc w:val="left"/>
        <w:rPr/>
      </w:pPr>
      <w:r>
        <w:rPr/>
        <w:t>pub fn generate_random_diagnoses(syndromes: &amp;[SyndromeInfo]) -&gt; Vec&lt;DiagnosisEntry&gt;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let mut rng = rand::rng();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let mut pool: Vec&lt;&amp;SyndromeInfo&gt; = syndromes.iter().collect();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pool.shuffle(&amp;mut rng);                              // перемешать каталог (изображение НЕ анализируется)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let mut confidence = rng.random_range(0.30..0.95);   // оценка для ранга 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pool.iter().take(10).enumerate().map(|(i, s)|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if i &gt; 0 {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confidence *= rng.random_range(0.50..0.90);  // каждый следующий ранг строго ниже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DiagnosisEntry {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syndrome_id:   s.id,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syndrome_name: s.name.to_string(),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confidence,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rank: (i + 1) as i32,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}).collect()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Это сознательное и честное проектное решение для MVP: оно позволяет полностью продемонстрировать </w:t>
      </w:r>
      <w:r>
        <w:rPr>
          <w:rStyle w:val="Strong"/>
        </w:rPr>
        <w:t>сквозной асинхронный конвейер</w:t>
      </w:r>
      <w:r>
        <w:rPr/>
        <w:t xml:space="preserve"> (загрузка → очередь → обработка → результат → уведомление → отображение), не дожидаясь готовности обученной модели. Каталог из 50 синдромов использует </w:t>
      </w:r>
      <w:r>
        <w:rPr>
          <w:rStyle w:val="Emphasis"/>
        </w:rPr>
        <w:t>стабильные UUID</w:t>
      </w:r>
      <w:r>
        <w:rPr/>
        <w:t xml:space="preserve"> (</w:t>
      </w:r>
      <w:r>
        <w:rPr>
          <w:rStyle w:val="SourceText"/>
        </w:rPr>
        <w:t>Uuid::from_u128(1..=50)</w:t>
      </w:r>
      <w:r>
        <w:rPr/>
        <w:t>), совпадающие с идентификаторами в справочной БД, поэтому результат корректно ссылается на карточки синдромов.</w:t>
      </w:r>
    </w:p>
    <w:p>
      <w:pPr>
        <w:pStyle w:val="BodyText"/>
        <w:bidi w:val="0"/>
        <w:rPr/>
      </w:pPr>
      <w:r>
        <w:rPr>
          <w:rStyle w:val="Strong"/>
        </w:rPr>
        <w:t>Почему замена модели не потребует переделки системы.</w:t>
      </w:r>
      <w:r>
        <w:rPr/>
        <w:t xml:space="preserve"> Контракт сообщений уже промышленный: </w:t>
      </w:r>
      <w:r>
        <w:rPr>
          <w:rStyle w:val="SourceText"/>
        </w:rPr>
        <w:t>AnalysisRequest</w:t>
      </w:r>
      <w:r>
        <w:rPr/>
        <w:t xml:space="preserve"> несёт ключ изображения, источник, опционально этничность пациента; </w:t>
      </w:r>
      <w:r>
        <w:rPr>
          <w:rStyle w:val="SourceText"/>
        </w:rPr>
        <w:t>AnalysisResult</w:t>
      </w:r>
      <w:r>
        <w:rPr/>
        <w:t xml:space="preserve"> — список </w:t>
      </w:r>
      <w:r>
        <w:rPr>
          <w:rStyle w:val="SourceText"/>
        </w:rPr>
        <w:t>DiagnosisEntry</w:t>
      </w:r>
      <w:r>
        <w:rPr/>
        <w:t xml:space="preserve"> (syndrome_id, name, confidence ∈ [0,1], rank) и время обработки. Реальной модели достаточно подменить функцию генерации диагнозов внутри того же consumer-цикла — остальные сервисы, БД и фронтенд останутся без изменений.</w:t>
      </w:r>
    </w:p>
    <w:p>
      <w:pPr>
        <w:pStyle w:val="Heading4"/>
        <w:bidi w:val="0"/>
        <w:jc w:val="left"/>
        <w:rPr/>
      </w:pPr>
      <w:r>
        <w:rPr/>
        <w:t>Целевая модель (видение)</w:t>
      </w:r>
    </w:p>
    <w:p>
      <w:pPr>
        <w:pStyle w:val="BodyText"/>
        <w:bidi w:val="0"/>
        <w:rPr/>
      </w:pPr>
      <w:r>
        <w:rPr/>
        <w:t>В целевой архитектуре Recognition работает на GPU-узлах, использует векторную БД эмбеддингов лица и реестр моделей (MLflow). По данным рыночного анализа, для конкурентоспособной модели потребуются: ≥17 000 изображений, покрытие 200+ синдромов, этническое разнообразие выборки, клиническая валидация (целевая точность top-10 ≈ 90%+) и публикации. Это — основной предмет следующего этапа разработки.</w:t>
      </w:r>
    </w:p>
    <w:p>
      <w:pPr>
        <w:pStyle w:val="Heading2pb"/>
        <w:bidi w:val="0"/>
        <w:jc w:val="left"/>
        <w:rPr/>
      </w:pPr>
      <w:r>
        <w:rPr/>
        <w:t>7. Фронтенд: Phenograph SPA</w:t>
      </w:r>
    </w:p>
    <w:p>
      <w:pPr>
        <w:pStyle w:val="Heading3"/>
        <w:bidi w:val="0"/>
        <w:jc w:val="left"/>
        <w:rPr/>
      </w:pPr>
      <w:r>
        <w:rPr/>
        <w:t>7.1. Технологический стек</w:t>
      </w:r>
    </w:p>
    <w:tbl>
      <w:tblPr>
        <w:tblW w:w="92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3"/>
        <w:gridCol w:w="6811"/>
      </w:tblGrid>
      <w:tr>
        <w:trPr/>
        <w:tc>
          <w:tcPr>
            <w:tcW w:w="2413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Область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Технология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Каркас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React 19, Vite 8, TypeScript 6 (строгий режим)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Маршрутизация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React Router 7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Серверное состояние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TanStack Query (React Query) 5 — кэш, поллинг, инвалидация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Валидация форм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Zod 4 (без отдельной form-библиотеки)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Моки API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MSW 2 (Mock Service Worker) — демо без бэкенда</w:t>
            </w:r>
          </w:p>
        </w:tc>
      </w:tr>
      <w:tr>
        <w:trPr/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Иконки / стили</w:t>
            </w:r>
          </w:p>
        </w:tc>
        <w:tc>
          <w:tcPr>
            <w:tcW w:w="6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Lucide; чистый CSS с дизайн-токенами (без Tailwind/CSS-in-JS)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7.2. Архитектура клиента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API-клиент</w:t>
      </w:r>
      <w:r>
        <w:rPr/>
        <w:t xml:space="preserve"> (</w:t>
      </w:r>
      <w:r>
        <w:rPr>
          <w:rStyle w:val="SourceText"/>
        </w:rPr>
        <w:t>lib/api</w:t>
      </w:r>
      <w:r>
        <w:rPr/>
        <w:t xml:space="preserve">): обёртка </w:t>
      </w:r>
      <w:r>
        <w:rPr>
          <w:rStyle w:val="SourceText"/>
        </w:rPr>
        <w:t>apiFetch</w:t>
      </w:r>
      <w:r>
        <w:rPr/>
        <w:t xml:space="preserve"> разворачивает конверт </w:t>
      </w:r>
      <w:r>
        <w:rPr>
          <w:rStyle w:val="SourceText"/>
        </w:rPr>
        <w:t>ApiResponse</w:t>
      </w:r>
      <w:r>
        <w:rPr/>
        <w:t xml:space="preserve">, подставляет Bearer-токен и при </w:t>
      </w:r>
      <w:r>
        <w:rPr>
          <w:rStyle w:val="SourceText"/>
        </w:rPr>
        <w:t>401</w:t>
      </w:r>
      <w:r>
        <w:rPr/>
        <w:t xml:space="preserve"> выполняет </w:t>
      </w:r>
      <w:r>
        <w:rPr>
          <w:rStyle w:val="Strong"/>
        </w:rPr>
        <w:t>единый (single-flight) refresh</w:t>
      </w:r>
      <w:r>
        <w:rPr/>
        <w:t xml:space="preserve"> с повтором запроса; параллельные 401 разделяют один промис обновления.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Состояние данных</w:t>
      </w:r>
      <w:r>
        <w:rPr/>
        <w:t xml:space="preserve">: хуки React Query на каждую предметную область; кейсы и пакеты в обработке </w:t>
      </w:r>
      <w:r>
        <w:rPr>
          <w:rStyle w:val="Strong"/>
        </w:rPr>
        <w:t>опрашиваются каждые 2 с</w:t>
      </w:r>
      <w:r>
        <w:rPr/>
        <w:t xml:space="preserve">; уведомления — каждые 30 с.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Аутентификация</w:t>
      </w:r>
      <w:r>
        <w:rPr/>
        <w:t xml:space="preserve"> (</w:t>
      </w:r>
      <w:r>
        <w:rPr>
          <w:rStyle w:val="SourceText"/>
        </w:rPr>
        <w:t>AuthContext</w:t>
      </w:r>
      <w:r>
        <w:rPr/>
        <w:t xml:space="preserve">): токены в </w:t>
      </w:r>
      <w:r>
        <w:rPr>
          <w:rStyle w:val="SourceText"/>
        </w:rPr>
        <w:t>localStorage</w:t>
      </w:r>
      <w:r>
        <w:rPr/>
        <w:t xml:space="preserve">; на старте — попытка </w:t>
      </w:r>
      <w:r>
        <w:rPr>
          <w:rStyle w:val="SourceText"/>
        </w:rPr>
        <w:t>/auth/me</w:t>
      </w:r>
      <w:r>
        <w:rPr/>
        <w:t xml:space="preserve"> с авто-обновлением; маршруты защищены охранниками (ProtectedRoute / PublicOnlyRoute / RoleRoute), навигация и домашний экран зависят от роли (врач → /app/cases, лаборатория → /app/usage).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Демо-режим</w:t>
      </w:r>
      <w:r>
        <w:rPr/>
        <w:t xml:space="preserve">: при </w:t>
      </w:r>
      <w:r>
        <w:rPr>
          <w:rStyle w:val="SourceText"/>
        </w:rPr>
        <w:t>VITE_USE_MOCKS=true</w:t>
      </w:r>
      <w:r>
        <w:rPr/>
        <w:t xml:space="preserve"> MSW перехватывает запросы и обслуживает их из встроенной in-memory БД (кейсы авто-проходят pending → processing → completed). В продакшн-сборке моки выключены. </w:t>
      </w:r>
    </w:p>
    <w:p>
      <w:pPr>
        <w:pStyle w:val="Heading3"/>
        <w:bidi w:val="0"/>
        <w:jc w:val="left"/>
        <w:rPr/>
      </w:pPr>
      <w:r>
        <w:rPr/>
        <w:t>7.3. Дизайн-система</w:t>
      </w:r>
    </w:p>
    <w:p>
      <w:pPr>
        <w:pStyle w:val="BodyText"/>
        <w:bidi w:val="0"/>
        <w:rPr/>
      </w:pPr>
      <w:r>
        <w:rPr/>
        <w:t>Визуальная идентичность задана набором CSS-токенов. Палитра — «природная», сдержанно-клиническая:</w:t>
      </w:r>
    </w:p>
    <w:tbl>
      <w:tblPr>
        <w:tblW w:w="98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3"/>
        <w:gridCol w:w="3091"/>
        <w:gridCol w:w="4594"/>
      </w:tblGrid>
      <w:tr>
        <w:trPr/>
        <w:tc>
          <w:tcPr>
            <w:tcW w:w="2133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Токен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Hex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teal-bright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#068176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Основной акцент (кнопки, ссылки, фокус)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deep-teal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#114643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Заголовки, тёмные поверхности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midnight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#15282f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Основной текст, тёмные секции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moss / olive / forest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#a2b568 / #697431 / #475d2e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Природная зелёная гамма</w:t>
            </w:r>
          </w:p>
        </w:tc>
      </w:tr>
      <w:tr>
        <w:trPr/>
        <w:tc>
          <w:tcPr>
            <w:tcW w:w="2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paper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#faf8f2</w:t>
            </w:r>
          </w:p>
        </w:tc>
        <w:tc>
          <w:tcPr>
            <w:tcW w:w="45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Фон страницы (тёплый белый)</w:t>
            </w:r>
          </w:p>
        </w:tc>
      </w:tr>
    </w:tbl>
    <w:p>
      <w:pPr>
        <w:pStyle w:val="BodyText"/>
        <w:bidi w:val="0"/>
        <w:rPr/>
      </w:pPr>
      <w:r>
        <w:rPr/>
        <w:t xml:space="preserve">Типографика: </w:t>
      </w:r>
      <w:r>
        <w:rPr>
          <w:rStyle w:val="Strong"/>
        </w:rPr>
        <w:t>Fraunces</w:t>
      </w:r>
      <w:r>
        <w:rPr/>
        <w:t xml:space="preserve"> (заголовки, серифный «характер»), </w:t>
      </w:r>
      <w:r>
        <w:rPr>
          <w:rStyle w:val="Strong"/>
        </w:rPr>
        <w:t>Inter</w:t>
      </w:r>
      <w:r>
        <w:rPr/>
        <w:t xml:space="preserve"> (текст/интерфейс), </w:t>
      </w:r>
      <w:r>
        <w:rPr>
          <w:rStyle w:val="Strong"/>
        </w:rPr>
        <w:t>JetBrains Mono</w:t>
      </w:r>
      <w:r>
        <w:rPr/>
        <w:t xml:space="preserve"> (идентификаторы, технические значения). Сетка отступов с базой 4 px, модульная типографическая шкала ×1,2, аккуратные тени и анимации. Библиотека UI-примитивов: Button, Card, Form, StatusPill, ConfidenceBar, Spinner, EmptyState, Toast, Modal, Dropzone, Pagination и др.</w:t>
      </w:r>
    </w:p>
    <w:p>
      <w:pPr>
        <w:pStyle w:val="BlockQuotationsmall"/>
        <w:bidi w:val="0"/>
        <w:jc w:val="left"/>
        <w:rPr/>
      </w:pPr>
      <w:r>
        <w:rPr>
          <w:rStyle w:val="Strong"/>
        </w:rPr>
        <w:t>Замечание о шрифтах на снимках.</w:t>
      </w:r>
      <w:r>
        <w:rPr/>
        <w:t xml:space="preserve"> На живом стенде заголовок CSP (</w:t>
      </w:r>
      <w:r>
        <w:rPr>
          <w:rStyle w:val="SourceText"/>
        </w:rPr>
        <w:t>style-src 'self'</w:t>
      </w:r>
      <w:r>
        <w:rPr/>
        <w:t>) блокирует загрузку шрифтов Google Fonts, поэтому на экранных снимках вместо Fraunces/Inter отображаются системные шрифты-заместители (серифный/без засечек). На внешний вид это влияет незначительно, но это — фактическое состояние развёртывания (см. раздел 10).</w:t>
      </w:r>
    </w:p>
    <w:p>
      <w:pPr>
        <w:pStyle w:val="Heading2pb"/>
        <w:bidi w:val="0"/>
        <w:jc w:val="left"/>
        <w:rPr/>
      </w:pPr>
      <w:r>
        <w:rPr/>
        <w:t>8. Безопасность</w:t>
      </w:r>
    </w:p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3F7A3A"/>
              <w:left w:val="single" w:sz="2" w:space="0" w:color="3F7A3A"/>
              <w:bottom w:val="single" w:sz="2" w:space="0" w:color="3F7A3A"/>
              <w:right w:val="single" w:sz="2" w:space="0" w:color="3F7A3A"/>
            </w:tcBorders>
            <w:shd w:fill="E8EFDD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Что реализовано и проверено.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Аутентификация:</w:t>
            </w:r>
            <w:r>
              <w:rPr/>
              <w:t xml:space="preserve"> Argon2id для паролей; JWT RS256; ротация refresh-токенов; чёрный список access-токенов в Redis при выходе. 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Авторизация (RBAC):</w:t>
            </w:r>
            <w:r>
              <w:rPr/>
              <w:t xml:space="preserve"> роли doctor/lab/admin в токене; проверка владения ресурсами (кейс/пакет — только владельцу). 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Периметр:</w:t>
            </w:r>
            <w:r>
              <w:rPr/>
              <w:t xml:space="preserve"> TLS (Let's Encrypt) + редирект HTTP→HTTPS; CORS, ограниченный origin фронтенда; rate-limit на логин (nginx) и на пакеты лабораторий (Redis); заголовки CSP/HSTS; firewall ufw (открыты только 22/80/443); вся инфраструктура — только loopback. 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SQL-инъекции:</w:t>
            </w:r>
            <w:r>
              <w:rPr/>
              <w:t xml:space="preserve"> все запросы используют параметризованные привязки </w:t>
            </w:r>
            <w:r>
              <w:rPr>
                <w:rStyle w:val="SourceText"/>
              </w:rPr>
              <w:t>sqlx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8"/>
              </w:numPr>
              <w:tabs>
                <w:tab w:val="clear" w:pos="1134"/>
                <w:tab w:val="left" w:pos="829" w:leader="none"/>
              </w:tabs>
              <w:bidi w:val="0"/>
              <w:spacing w:before="120" w:after="120"/>
              <w:ind w:hanging="283" w:left="829"/>
              <w:jc w:val="left"/>
              <w:rPr/>
            </w:pPr>
            <w:r>
              <w:rPr>
                <w:rStyle w:val="Strong"/>
              </w:rPr>
              <w:t>XSS:</w:t>
            </w:r>
            <w:r>
              <w:rPr/>
              <w:t xml:space="preserve"> нет </w:t>
            </w:r>
            <w:r>
              <w:rPr>
                <w:rStyle w:val="SourceText"/>
              </w:rPr>
              <w:t>dangerouslySetInnerHTML</w:t>
            </w:r>
            <w:r>
              <w:rPr/>
              <w:t xml:space="preserve">; React экранирует вывод; строгая CSP как компенсация хранения JWT в localStorage. </w:t>
            </w:r>
          </w:p>
        </w:tc>
      </w:tr>
    </w:tbl>
    <w:tbl>
      <w:tblPr>
        <w:tblW w:w="10500" w:type="dxa"/>
        <w:jc w:val="left"/>
        <w:tblInd w:w="24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10500"/>
      </w:tblGrid>
      <w:tr>
        <w:trPr/>
        <w:tc>
          <w:tcPr>
            <w:tcW w:w="10500" w:type="dxa"/>
            <w:tcBorders>
              <w:top w:val="single" w:sz="2" w:space="0" w:color="8A3A2E"/>
              <w:left w:val="single" w:sz="2" w:space="0" w:color="8A3A2E"/>
              <w:bottom w:val="single" w:sz="2" w:space="0" w:color="8A3A2E"/>
              <w:right w:val="single" w:sz="2" w:space="0" w:color="8A3A2E"/>
            </w:tcBorders>
            <w:shd w:fill="F4DAD3" w:val="clear"/>
            <w:vAlign w:val="center"/>
          </w:tcPr>
          <w:p>
            <w:pPr>
              <w:pStyle w:val="TableContents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Зафлагованные риски (требуют решения до широкого запуска).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Открытая регистрация:</w:t>
            </w:r>
            <w:r>
              <w:rPr/>
              <w:t xml:space="preserve"> любой может зарегистрироваться с любой ролью — нужна модерация/CAPTCHA/инвайты. 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JWT в localStorage:</w:t>
            </w:r>
            <w:r>
              <w:rPr/>
              <w:t xml:space="preserve"> осознанный компромисс; митигируется строгой CSP, но уязвим к XSS. 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MinIO buckets — public-read</w:t>
            </w:r>
            <w:r>
              <w:rPr/>
              <w:t xml:space="preserve">; Kafka и Elasticsearch — одноузловые без аутентификации (допустимо только потому, что закрыты loopback на одной машине). 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Смена пароля PostgreSQL</w:t>
            </w:r>
            <w:r>
              <w:rPr/>
              <w:t xml:space="preserve"> требует пустого тома данных (особенность инициализации). </w:t>
            </w:r>
          </w:p>
          <w:p>
            <w:pPr>
              <w:pStyle w:val="TableContents"/>
              <w:numPr>
                <w:ilvl w:val="0"/>
                <w:numId w:val="9"/>
              </w:numPr>
              <w:tabs>
                <w:tab w:val="clear" w:pos="1134"/>
                <w:tab w:val="left" w:pos="829" w:leader="none"/>
              </w:tabs>
              <w:bidi w:val="0"/>
              <w:spacing w:before="120" w:after="120"/>
              <w:ind w:hanging="283" w:left="829"/>
              <w:jc w:val="left"/>
              <w:rPr/>
            </w:pPr>
            <w:r>
              <w:rPr>
                <w:rStyle w:val="Strong"/>
              </w:rPr>
              <w:t>Нет HA/реплик/бэкапов</w:t>
            </w:r>
            <w:r>
              <w:rPr/>
              <w:t xml:space="preserve"> — одна машина (см. раздел 9–10). </w:t>
            </w:r>
          </w:p>
        </w:tc>
      </w:tr>
    </w:tbl>
    <w:p>
      <w:pPr>
        <w:pStyle w:val="Heading2pb"/>
        <w:bidi w:val="0"/>
        <w:jc w:val="left"/>
        <w:rPr/>
      </w:pPr>
      <w:r>
        <w:rPr/>
        <w:t>9. Развёртывание</w:t>
      </w:r>
    </w:p>
    <w:p>
      <w:pPr>
        <w:pStyle w:val="BodyText"/>
        <w:bidi w:val="0"/>
        <w:rPr/>
      </w:pPr>
      <w:r>
        <w:rPr/>
        <w:t>Предусмотрено два контура развёртывания.</w:t>
      </w:r>
    </w:p>
    <w:p>
      <w:pPr>
        <w:pStyle w:val="Heading4"/>
        <w:bidi w:val="0"/>
        <w:jc w:val="left"/>
        <w:rPr/>
      </w:pPr>
      <w:r>
        <w:rPr/>
        <w:t>Продакшн: Kubernetes</w:t>
      </w:r>
    </w:p>
    <w:p>
      <w:pPr>
        <w:pStyle w:val="BodyText"/>
        <w:bidi w:val="0"/>
        <w:rPr/>
      </w:pPr>
      <w:r>
        <w:rPr/>
        <w:t xml:space="preserve">Для промышленной эксплуатации </w:t>
      </w:r>
      <w:r>
        <w:rPr>
          <w:rStyle w:val="Strong"/>
        </w:rPr>
        <w:t>подготовлены и проверены манифесты Kubernetes</w:t>
      </w:r>
      <w:r>
        <w:rPr/>
        <w:t xml:space="preserve"> (см. §4.2, Рис. 15): сервисы — как Deployments за Ingress с TLS, stateful-компоненты (PostgreSQL, Kafka, Redis, MinIO, Elasticsearch) — как StatefulSets/тома в кластере. Это целевой способ развёртывания, обеспечивающий горизонтальное масштабирование и самовосстановление подов.</w:t>
      </w:r>
    </w:p>
    <w:p>
      <w:pPr>
        <w:pStyle w:val="Heading4"/>
        <w:bidi w:val="0"/>
        <w:jc w:val="left"/>
        <w:rPr/>
      </w:pPr>
      <w:r>
        <w:rPr/>
        <w:t>Демо-стенд: одна машина</w:t>
      </w:r>
    </w:p>
    <w:p>
      <w:pPr>
        <w:pStyle w:val="BodyText"/>
        <w:bidi w:val="0"/>
        <w:rPr/>
      </w:pPr>
      <w:r>
        <w:rPr/>
        <w:t xml:space="preserve">Текущий публичный демо-стенд </w:t>
      </w:r>
      <w:r>
        <w:rPr>
          <w:rStyle w:val="SourceText"/>
        </w:rPr>
        <w:t>rusted-apple.com</w:t>
      </w:r>
      <w:r>
        <w:rPr/>
        <w:t xml:space="preserve"> развёрнут упрощённым идемпотентным скриптом </w:t>
      </w:r>
      <w:r>
        <w:rPr>
          <w:rStyle w:val="SourceText"/>
        </w:rPr>
        <w:t>deploy.sh</w:t>
      </w:r>
      <w:r>
        <w:rPr/>
        <w:t xml:space="preserve"> (10 шагов): генерация секретов и </w:t>
      </w:r>
      <w:r>
        <w:rPr>
          <w:rStyle w:val="SourceText"/>
        </w:rPr>
        <w:t>.env</w:t>
      </w:r>
      <w:r>
        <w:rPr/>
        <w:t xml:space="preserve"> (сильные пароли БД/MinIO, RSA-ключи JWT, CORS на домен фронтенда) → подъём инфраструктуры в Docker → миграции → сборка </w:t>
      </w:r>
      <w:r>
        <w:rPr>
          <w:rStyle w:val="SourceText"/>
        </w:rPr>
        <w:t>cargo build --release</w:t>
      </w:r>
      <w:r>
        <w:rPr/>
        <w:t xml:space="preserve"> и установка 7 systemd-юнитов (</w:t>
      </w:r>
      <w:r>
        <w:rPr>
          <w:rStyle w:val="SourceText"/>
        </w:rPr>
        <w:t>Restart=always</w:t>
      </w:r>
      <w:r>
        <w:rPr/>
        <w:t>, автозапуск) → засев демо-доступов → сборка и публикация фронтенда → конфигурация системного nginx (frontend/API/storage) → выпуск TLS-сертификатов (certbot) → настройка firewall (ufw). Все экранные снимки в отчёте сделаны именно с этого стенда.</w:t>
      </w:r>
    </w:p>
    <w:tbl>
      <w:tblPr>
        <w:tblW w:w="79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91"/>
        <w:gridCol w:w="4539"/>
      </w:tblGrid>
      <w:tr>
        <w:trPr/>
        <w:tc>
          <w:tcPr>
            <w:tcW w:w="3391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Домен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frontend.rusted-apple.com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SPA (статика из </w:t>
            </w:r>
            <w:r>
              <w:rPr>
                <w:rStyle w:val="SourceText"/>
              </w:rPr>
              <w:t>/var/www/phenograph</w:t>
            </w:r>
            <w:r>
              <w:rPr/>
              <w:t>)</w:t>
            </w:r>
          </w:p>
        </w:tc>
      </w:tr>
      <w:tr>
        <w:trPr/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api.rusted-apple.com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API (через шлюз → 7 сервисов)</w:t>
            </w:r>
          </w:p>
        </w:tc>
      </w:tr>
      <w:tr>
        <w:trPr/>
        <w:tc>
          <w:tcPr>
            <w:tcW w:w="33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storage.*</w:t>
            </w:r>
            <w:r>
              <w:rPr/>
              <w:t xml:space="preserve"> (опц.)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MinIO для браузерных presigned-загрузок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Демо-доступы</w:t>
      </w:r>
      <w:r>
        <w:rPr/>
        <w:t xml:space="preserve"> (засеяны в реальную БД через </w:t>
      </w:r>
      <w:r>
        <w:rPr>
          <w:rStyle w:val="SourceText"/>
        </w:rPr>
        <w:t>/auth/register</w:t>
      </w:r>
      <w:r>
        <w:rPr/>
        <w:t>):</w:t>
      </w:r>
    </w:p>
    <w:tbl>
      <w:tblPr>
        <w:tblW w:w="62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2"/>
        <w:gridCol w:w="2998"/>
        <w:gridCol w:w="1657"/>
      </w:tblGrid>
      <w:tr>
        <w:trPr/>
        <w:tc>
          <w:tcPr>
            <w:tcW w:w="1562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Роль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E-mail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Пароль</w:t>
            </w:r>
          </w:p>
        </w:tc>
      </w:tr>
      <w:tr>
        <w:trPr/>
        <w:tc>
          <w:tcPr>
            <w:tcW w:w="15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Врач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doctor@phenograph.test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demopass123</w:t>
            </w:r>
          </w:p>
        </w:tc>
      </w:tr>
      <w:tr>
        <w:trPr/>
        <w:tc>
          <w:tcPr>
            <w:tcW w:w="15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Лаборатория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lab@phenograph.test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demopass123</w:t>
            </w:r>
          </w:p>
        </w:tc>
      </w:tr>
    </w:tbl>
    <w:p>
      <w:pPr>
        <w:pStyle w:val="Heading2pb"/>
        <w:bidi w:val="0"/>
        <w:jc w:val="left"/>
        <w:rPr/>
      </w:pPr>
      <w:r>
        <w:rPr/>
        <w:t>10. Текущие ограничения и известные проблемы</w:t>
      </w:r>
    </w:p>
    <w:p>
      <w:pPr>
        <w:pStyle w:val="BodyText"/>
        <w:bidi w:val="0"/>
        <w:rPr/>
      </w:pPr>
      <w:r>
        <w:rPr/>
        <w:t xml:space="preserve">Раздел приведён для полноты и честности картины. </w:t>
      </w:r>
      <w:r>
        <w:rPr>
          <w:rStyle w:val="Strong"/>
        </w:rPr>
        <w:t>Врачебный сценарий работает на живом стенде полностью</w:t>
      </w:r>
      <w:r>
        <w:rPr/>
        <w:t xml:space="preserve"> (вход → кейс → диагнозы), и именно он — «витрина» продукта. Ниже — ограничения, преимущественно в монетизационном (лабораторном) контуре и в части инфраструктуры.</w:t>
      </w:r>
    </w:p>
    <w:p>
      <w:pPr>
        <w:pStyle w:val="Heading4"/>
        <w:bidi w:val="0"/>
        <w:jc w:val="left"/>
        <w:rPr/>
      </w:pPr>
      <w:r>
        <w:rPr/>
        <w:t>Функциональные ограничения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Распознавание — заглушка</w:t>
      </w:r>
      <w:r>
        <w:rPr/>
        <w:t xml:space="preserve"> (раздел 6): текущая «уверенность» и состав диагнозов случайны.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Лабораторные диагнозы не сохраняются.</w:t>
      </w:r>
      <w:r>
        <w:rPr/>
        <w:t xml:space="preserve"> Пакет и его элементы доходят до статуса </w:t>
      </w:r>
      <w:r>
        <w:rPr>
          <w:rStyle w:val="SourceText"/>
        </w:rPr>
        <w:t>completed</w:t>
      </w:r>
      <w:r>
        <w:rPr/>
        <w:t xml:space="preserve">, но Labs-сервис не сохраняет сами диагнозы, а </w:t>
      </w:r>
      <w:r>
        <w:rPr>
          <w:rStyle w:val="SourceText"/>
        </w:rPr>
        <w:t>case_id</w:t>
      </w:r>
      <w:r>
        <w:rPr/>
        <w:t xml:space="preserve"> элемента — это сгенерированная заглушка, не существующая в Case-сервисе. Поэтому диагнозы по элементам пакета недоступны для просмотра, а Case-сервис логирует «unknown case» на лабораторном трафике (оба сервиса слушают </w:t>
      </w:r>
      <w:r>
        <w:rPr>
          <w:rStyle w:val="SourceText"/>
        </w:rPr>
        <w:t>analysis.results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Профиль — только чтение</w:t>
      </w:r>
      <w:r>
        <w:rPr/>
        <w:t xml:space="preserve"> (нет эндпоинта обновления).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Нет списка пакетов</w:t>
      </w:r>
      <w:r>
        <w:rPr/>
        <w:t xml:space="preserve"> на бэкенде — фронтенд хранит созданные id в </w:t>
      </w:r>
      <w:r>
        <w:rPr>
          <w:rStyle w:val="SourceText"/>
        </w:rPr>
        <w:t>localStorage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Загрузка пакета принимает ключи, а не файлы</w:t>
      </w:r>
      <w:r>
        <w:rPr/>
        <w:t xml:space="preserve">, и нет presign-эндпоинта для лабораторий — в продакшне объекты должны быть заранее размещены в хранилище. </w:t>
      </w:r>
    </w:p>
    <w:p>
      <w:pPr>
        <w:pStyle w:val="Heading4"/>
        <w:bidi w:val="0"/>
        <w:jc w:val="left"/>
        <w:rPr/>
      </w:pPr>
      <w:r>
        <w:rPr/>
        <w:t>Наблюдения на живом стенде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Страница биллинга падает</w:t>
      </w:r>
      <w:r>
        <w:rPr/>
        <w:t xml:space="preserve"> (ошибка </w:t>
      </w:r>
      <w:r>
        <w:rPr>
          <w:rStyle w:val="SourceText"/>
        </w:rPr>
        <w:t>n.map is not a function</w:t>
      </w:r>
      <w:r>
        <w:rPr/>
        <w:t xml:space="preserve">), </w:t>
      </w:r>
      <w:r>
        <w:rPr>
          <w:rStyle w:val="SourceText"/>
        </w:rPr>
        <w:t>/labs/usage</w:t>
      </w:r>
      <w:r>
        <w:rPr/>
        <w:t xml:space="preserve"> отвечает </w:t>
      </w:r>
      <w:r>
        <w:rPr>
          <w:rStyle w:val="SourceText"/>
        </w:rPr>
        <w:t>500</w:t>
      </w:r>
      <w:r>
        <w:rPr/>
        <w:t xml:space="preserve">, а у демо-лаборатории нет активной подписки. Совокупно это </w:t>
      </w:r>
      <w:r>
        <w:rPr>
          <w:rStyle w:val="Strong"/>
        </w:rPr>
        <w:t>блокирует демонстрацию лабораторного/ монетизационного потока end-to-end</w:t>
      </w:r>
      <w:r>
        <w:rPr/>
        <w:t xml:space="preserve"> на текущем стенде.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CSP блокирует Google Fonts</w:t>
      </w:r>
      <w:r>
        <w:rPr/>
        <w:t xml:space="preserve"> (</w:t>
      </w:r>
      <w:r>
        <w:rPr>
          <w:rStyle w:val="SourceText"/>
        </w:rPr>
        <w:t>style-src 'self'</w:t>
      </w:r>
      <w:r>
        <w:rPr/>
        <w:t xml:space="preserve">) → сайт показывается системными шрифтами. </w:t>
      </w:r>
    </w:p>
    <w:p>
      <w:pPr>
        <w:pStyle w:val="Heading4"/>
        <w:bidi w:val="0"/>
        <w:jc w:val="left"/>
        <w:rPr/>
      </w:pPr>
      <w:r>
        <w:rPr/>
        <w:t>Инфраструктурные ограничения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Одна машина: нет высокой доступности, репликации и резервного копирования.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Kafka/Elasticsearch — одноузловые; MinIO — public-read (допустимо только за firewall). </w:t>
      </w:r>
    </w:p>
    <w:p>
      <w:pPr>
        <w:pStyle w:val="Heading2pb"/>
        <w:bidi w:val="0"/>
        <w:jc w:val="left"/>
        <w:rPr/>
      </w:pPr>
      <w:r>
        <w:rPr/>
        <w:t>11. Дорожная карта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Реальная ML-модель распознавания</w:t>
      </w:r>
      <w:r>
        <w:rPr/>
        <w:t xml:space="preserve"> + векторная БД и реестр моделей; клиническая валидация и публикации.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Завершение лабораторного контура:</w:t>
      </w:r>
      <w:r>
        <w:rPr/>
        <w:t xml:space="preserve"> сохранение диагнозов пакета, связка </w:t>
      </w:r>
      <w:r>
        <w:rPr>
          <w:rStyle w:val="SourceText"/>
        </w:rPr>
        <w:t>case_id</w:t>
      </w:r>
      <w:r>
        <w:rPr/>
        <w:t xml:space="preserve">, починка биллинг-страницы и </w:t>
      </w:r>
      <w:r>
        <w:rPr>
          <w:rStyle w:val="SourceText"/>
        </w:rPr>
        <w:t>/labs/usage</w:t>
      </w:r>
      <w:r>
        <w:rPr/>
        <w:t xml:space="preserve">, сценарий подписки.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Локализация интерфейса на русский язык</w:t>
      </w:r>
      <w:r>
        <w:rPr/>
        <w:t xml:space="preserve"> — ключевое рыночное преимущество.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Интеграция с МИС/ЭМК и экспорт в FHIR.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Production-grade инфраструктура:</w:t>
      </w:r>
      <w:r>
        <w:rPr/>
        <w:t xml:space="preserve"> манифесты Kubernetes уже подготовлены (§4.2/§9) — остаётся перевести на них живой стенд, добавить горизонтальное масштабирование, наблюдаемость (Prometheus/Grafana/Jaeger/ELK) и бэкапы.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trong"/>
        </w:rPr>
        <w:t>Контроль доступа:</w:t>
      </w:r>
      <w:r>
        <w:rPr/>
        <w:t xml:space="preserve"> закрытие открытой регистрации (инвайты/модерация), полноценная admin-роль.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trong"/>
        </w:rPr>
        <w:t>Перенос JWT в httpOnly-cookie</w:t>
      </w:r>
      <w:r>
        <w:rPr/>
        <w:t xml:space="preserve"> (снижение XSS-риска), усиление аутентификации инфраструктуры (Kafka/ES, приватные buckets). </w:t>
      </w:r>
    </w:p>
    <w:p>
      <w:pPr>
        <w:pStyle w:val="Heading2pb"/>
        <w:bidi w:val="0"/>
        <w:jc w:val="left"/>
        <w:rPr/>
      </w:pPr>
      <w:r>
        <w:rPr/>
        <w:t>12. Приложения</w:t>
      </w:r>
    </w:p>
    <w:p>
      <w:pPr>
        <w:pStyle w:val="Heading3"/>
        <w:bidi w:val="0"/>
        <w:jc w:val="left"/>
        <w:rPr/>
      </w:pPr>
      <w:r>
        <w:rPr/>
        <w:t>Приложение A. Полная карта API (24 операции)</w:t>
      </w:r>
    </w:p>
    <w:tbl>
      <w:tblPr>
        <w:tblW w:w="105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68"/>
        <w:gridCol w:w="1319"/>
        <w:gridCol w:w="4076"/>
        <w:gridCol w:w="1237"/>
      </w:tblGrid>
      <w:tr>
        <w:trPr/>
        <w:tc>
          <w:tcPr>
            <w:tcW w:w="3868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Метод и путь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Сервис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Описание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hd w:fill="114643" w:val="clear"/>
              <w:bidi w:val="0"/>
              <w:spacing w:before="120" w:after="120"/>
              <w:jc w:val="left"/>
              <w:rPr/>
            </w:pPr>
            <w:r>
              <w:rPr/>
              <w:t>Аутент.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/auth/register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Регистрация пользователя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/auth/login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Вход, выдача пары токенов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/auth/refresh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Обновление токенов (ротация)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refresh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/auth/me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Профиль текущего пользователя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DELETE /auth/logout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auth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Выход, отзыв токенов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/cases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Создать кейс + presigned-URL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/cases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Список кейсов (пагинация)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/cases/{id}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Кейс с диагнозами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PATCH /cases/{id}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Правка метаданных (только pending)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/cases/{id}/confirm-upload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case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Подтвердить загрузку, запустить анализ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/labs/batch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labs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Создать пакет анализа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 (lab)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/labs/results/{batch_id}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labs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Пакет и его элементы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 (lab)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/labs/usage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labs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Потребление за месяц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 (lab)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/labs/tiers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labs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Доступные тарифы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/recognize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recognition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Прямой инференс (заглушка, для тестов)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/notifications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notifier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Список уведомлений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PATCH /notifications/{id}/read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notifier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Отметить прочитанным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/reference/syndromes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reference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Список/поиск синдромов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/reference/syndromes/{id}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reference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Синдром + HPO-термины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/reference/hpo/search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reference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Поиск по HPO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JWT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/billing/plans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billing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Список тарифов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/billing/subscribe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billing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Оформить подписку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  <w:r>
              <w:rPr/>
              <w:t>*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GET /billing/usage/{lab_id}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billing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Потребление лаборатории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  <w:r>
              <w:rPr/>
              <w:t>*</w:t>
            </w:r>
          </w:p>
        </w:tc>
      </w:tr>
      <w:tr>
        <w:trPr/>
        <w:tc>
          <w:tcPr>
            <w:tcW w:w="38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POST /billing/check-quota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billing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Внутренняя проверка квоты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—</w:t>
            </w:r>
            <w:r>
              <w:rPr/>
              <w:t>*</w:t>
            </w:r>
          </w:p>
        </w:tc>
      </w:tr>
    </w:tbl>
    <w:p>
      <w:pPr>
        <w:pStyle w:val="BodyText"/>
        <w:bidi w:val="0"/>
        <w:rPr/>
      </w:pPr>
      <w:r>
        <w:rPr/>
        <w:t>* Биллинг-эндпоинты в текущем MVP не защищены отдельно (вызываются изнутри/проксируются); требует доработки.</w:t>
      </w:r>
    </w:p>
    <w:p>
      <w:pPr>
        <w:pStyle w:val="Heading3"/>
        <w:bidi w:val="0"/>
        <w:jc w:val="left"/>
        <w:rPr/>
      </w:pPr>
      <w:r>
        <w:rPr/>
        <w:t>Приложение B. Каталог синдромов распознавания (50)</w:t>
      </w:r>
    </w:p>
    <w:p>
      <w:pPr>
        <w:pStyle w:val="BodyTextsmall"/>
        <w:bidi w:val="0"/>
        <w:rPr/>
      </w:pPr>
      <w:r>
        <w:rPr/>
        <w:t>Down, Turner, Noonan, Williams, Angelman, Prader-Willi, Cornelia de Lange, Kabuki, Rubinstein-Taybi, Treacher Collins, Marfan, Ehlers-Danlos, Fragile X, Rett, Apert, Crouzon, DiGeorge, Wolf-Hirschhorn, Cri du Chat, Patau, Edwards, Klinefelter, Sotos, Beckwith-Wiedemann, Russell-Silver, Stickler, Waardenburg, Coffin-Siris, Floating-Harbor, KBG, Mowat-Wilson, Phelan-McDermid, Costello, Cardiofaciocutaneous, CHARGE, Jacobsen, Smith-Magenis, Potocki-Lupski, Kleefstra, Koolen-de Vries, Schinzel-Giedion, Marshall-Smith, Weaver, Pallister-Killian, Bohring-Opitz, Wiedemann-Steiner, Nicolaides-Baraitser, Genitopatellar, DOORS, Bainbridge-Ropers.</w:t>
      </w:r>
    </w:p>
    <w:p>
      <w:pPr>
        <w:pStyle w:val="Heading3"/>
        <w:bidi w:val="0"/>
        <w:jc w:val="left"/>
        <w:rPr/>
      </w:pPr>
      <w:r>
        <w:rPr/>
        <w:t>Приложение C. Доступы и ссылки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rPr/>
      </w:pPr>
      <w:r>
        <w:rPr>
          <w:sz w:val="20"/>
        </w:rPr>
        <w:t xml:space="preserve">Фронтенд: </w:t>
      </w:r>
      <w:r>
        <w:rPr>
          <w:rStyle w:val="SourceText"/>
          <w:sz w:val="20"/>
        </w:rPr>
        <w:t>https://frontend.rusted-apple.com</w:t>
      </w:r>
      <w:r>
        <w:rPr>
          <w:sz w:val="20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sz w:val="20"/>
        </w:rPr>
        <w:t xml:space="preserve">API: </w:t>
      </w:r>
      <w:r>
        <w:rPr>
          <w:rStyle w:val="SourceText"/>
          <w:sz w:val="20"/>
        </w:rPr>
        <w:t>https://api.rusted-apple.com</w:t>
      </w:r>
      <w:r>
        <w:rPr>
          <w:sz w:val="20"/>
        </w:rPr>
        <w:t xml:space="preserve"> (liveness: </w:t>
      </w:r>
      <w:r>
        <w:rPr>
          <w:rStyle w:val="SourceText"/>
          <w:sz w:val="20"/>
        </w:rPr>
        <w:t>/healthz</w:t>
      </w:r>
      <w:r>
        <w:rPr>
          <w:sz w:val="20"/>
        </w:rPr>
        <w:t xml:space="preserve">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sz w:val="20"/>
        </w:rPr>
        <w:t xml:space="preserve">Демо-врач: </w:t>
      </w:r>
      <w:r>
        <w:rPr>
          <w:rStyle w:val="SourceText"/>
          <w:sz w:val="20"/>
        </w:rPr>
        <w:t>doctor@phenograph.test</w:t>
      </w:r>
      <w:r>
        <w:rPr>
          <w:sz w:val="20"/>
        </w:rPr>
        <w:t xml:space="preserve"> / </w:t>
      </w:r>
      <w:r>
        <w:rPr>
          <w:rStyle w:val="SourceText"/>
          <w:sz w:val="20"/>
        </w:rPr>
        <w:t>demopass123</w:t>
      </w:r>
      <w:r>
        <w:rPr>
          <w:sz w:val="20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sz w:val="20"/>
        </w:rPr>
        <w:t xml:space="preserve">Демо-лаборатория: </w:t>
      </w:r>
      <w:r>
        <w:rPr>
          <w:rStyle w:val="SourceText"/>
          <w:sz w:val="20"/>
        </w:rPr>
        <w:t>lab@phenograph.test</w:t>
      </w:r>
      <w:r>
        <w:rPr>
          <w:sz w:val="20"/>
        </w:rPr>
        <w:t xml:space="preserve"> / </w:t>
      </w:r>
      <w:r>
        <w:rPr>
          <w:rStyle w:val="SourceText"/>
          <w:sz w:val="20"/>
        </w:rPr>
        <w:t>demopass123</w:t>
      </w:r>
      <w:r>
        <w:rPr>
          <w:sz w:val="20"/>
        </w:rPr>
        <w:t xml:space="preserve"> </w:t>
      </w:r>
    </w:p>
    <w:p>
      <w:pPr>
        <w:pStyle w:val="Heading3"/>
        <w:bidi w:val="0"/>
        <w:jc w:val="left"/>
        <w:rPr/>
      </w:pPr>
      <w:r>
        <w:rPr/>
        <w:t>Приложение D. Структура репозитория (ключевое)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rPr/>
      </w:pPr>
      <w:r>
        <w:rPr>
          <w:rStyle w:val="SourceText"/>
          <w:sz w:val="20"/>
        </w:rPr>
        <w:t>crates/oblivion-common/</w:t>
      </w:r>
      <w:r>
        <w:rPr>
          <w:sz w:val="20"/>
        </w:rPr>
        <w:t xml:space="preserve"> — общие контракты (конверт, ошибки, типы, Kafka).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  <w:sz w:val="20"/>
        </w:rPr>
        <w:t>services/{auth,case,labs,recognition,notifier,reference,billing}/</w:t>
      </w:r>
      <w:r>
        <w:rPr>
          <w:sz w:val="20"/>
        </w:rPr>
        <w:t xml:space="preserve"> — 7 микросервисов.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  <w:sz w:val="20"/>
        </w:rPr>
        <w:t>migrations/</w:t>
      </w:r>
      <w:r>
        <w:rPr>
          <w:sz w:val="20"/>
        </w:rPr>
        <w:t xml:space="preserve"> — SQL-миграции по схемам.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  <w:sz w:val="20"/>
        </w:rPr>
        <w:t>gateway/nginx.conf</w:t>
      </w:r>
      <w:r>
        <w:rPr>
          <w:sz w:val="20"/>
        </w:rPr>
        <w:t xml:space="preserve"> — конфигурация API-шлюза.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  <w:sz w:val="20"/>
        </w:rPr>
        <w:t>frontend/app/</w:t>
      </w:r>
      <w:r>
        <w:rPr>
          <w:sz w:val="20"/>
        </w:rPr>
        <w:t xml:space="preserve"> — продакшн-SPA (React/Vite/TS).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SourceText"/>
          <w:sz w:val="20"/>
        </w:rPr>
        <w:t>docs/openapi.yaml</w:t>
      </w:r>
      <w:r>
        <w:rPr>
          <w:sz w:val="20"/>
        </w:rPr>
        <w:t xml:space="preserve"> — спецификация API; </w:t>
      </w:r>
      <w:r>
        <w:rPr>
          <w:rStyle w:val="SourceText"/>
          <w:sz w:val="20"/>
        </w:rPr>
        <w:t>docs/DEPLOY.md</w:t>
      </w:r>
      <w:r>
        <w:rPr>
          <w:sz w:val="20"/>
        </w:rPr>
        <w:t xml:space="preserve"> — инструкция развёртывания.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SourceText"/>
          <w:sz w:val="20"/>
        </w:rPr>
        <w:t>design/</w:t>
      </w:r>
      <w:r>
        <w:rPr>
          <w:sz w:val="20"/>
        </w:rPr>
        <w:t xml:space="preserve"> — проектные материалы: целевая архитектура и рыночный анализ.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120" w:after="120"/>
        <w:ind w:hanging="0" w:left="0" w:right="0"/>
        <w:jc w:val="center"/>
        <w:rPr/>
      </w:pPr>
      <w:r>
        <w:rPr/>
        <w:t xml:space="preserve">Phenograph / Oblivion — отчёт о продукте (MVP). Подготовлено на основе исходного кода репозитория, проектных материалов </w:t>
      </w:r>
      <w:r>
        <w:rPr>
          <w:rStyle w:val="SourceText"/>
        </w:rPr>
        <w:t>design/</w:t>
      </w:r>
      <w:r>
        <w:rPr/>
        <w:t xml:space="preserve"> и наблюдений на живом стенде. Не является медицинским изделием — инструмент поддержки клинических решений.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Georgia;Times New Roman;serif" w:hAnsi="Liberation Serif;Georgia;Times New Roman;serif" w:eastAsia="Liberation Serif;Georgia;Times New Roman;serif" w:cs="Liberation Serif;Georgia;Times New Roman;serif"/>
      <w:color w:val="15282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74" w:before="240" w:after="80"/>
    </w:pPr>
    <w:rPr>
      <w:b/>
      <w:bCs/>
      <w:color w:val="114643"/>
      <w:sz w:val="52"/>
      <w:szCs w:val="52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068176"/>
      </w:pBdr>
      <w:spacing w:before="520" w:after="120"/>
      <w:outlineLvl w:val="1"/>
    </w:pPr>
    <w:rPr>
      <w:rFonts w:ascii="Liberation Serif" w:hAnsi="Liberation Serif" w:eastAsia="Noto Serif CJK SC" w:cs="Noto Sans Devanagari"/>
      <w:b/>
      <w:bCs/>
      <w:color w:val="114643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360" w:after="120"/>
      <w:outlineLvl w:val="2"/>
    </w:pPr>
    <w:rPr>
      <w:rFonts w:ascii="Liberation Serif" w:hAnsi="Liberation Serif" w:eastAsia="Noto Serif CJK SC" w:cs="Noto Sans Devanagari"/>
      <w:b/>
      <w:bCs/>
      <w:color w:val="15282F"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80" w:after="80"/>
      <w:outlineLvl w:val="3"/>
    </w:pPr>
    <w:rPr>
      <w:rFonts w:ascii="Liberation Serif" w:hAnsi="Liberation Serif" w:eastAsia="Noto Serif CJK SC" w:cs="Noto Sans Devanagari"/>
      <w:b/>
      <w:bCs/>
      <w:color w:val="475D2E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Courier New;monospace" w:hAnsi="Liberation Mono;Courier New;monospace" w:eastAsia="Liberation Mono;Courier New;monospace" w:cs="Liberation Mono;Courier New;monospace"/>
      <w:sz w:val="21"/>
      <w:szCs w:val="21"/>
      <w:shd w:fill="F1EDE3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8D2C4"/>
        <w:left w:val="single" w:sz="18" w:space="10" w:color="068176"/>
        <w:bottom w:val="single" w:sz="2" w:space="8" w:color="D8D2C4"/>
        <w:right w:val="single" w:sz="2" w:space="10" w:color="D8D2C4"/>
      </w:pBdr>
      <w:shd w:fill="F6F3EA" w:val="clear"/>
      <w:spacing w:lineRule="auto" w:line="324" w:before="160" w:after="160"/>
      <w:ind w:left="160" w:right="160"/>
    </w:pPr>
    <w:rPr>
      <w:rFonts w:ascii="Liberation Mono;Courier New;monospace" w:hAnsi="Liberation Mono;Courier New;monospace" w:eastAsia="Liberation Mono;Courier New;monospace" w:cs="Liberation Mono;Courier New;monospace"/>
      <w:color w:val="15282F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18" w:space="12" w:color="068176"/>
      </w:pBdr>
      <w:shd w:fill="F6F3EA" w:val="clear"/>
      <w:spacing w:before="200" w:after="200"/>
      <w:ind w:hanging="0" w:left="200" w:right="200"/>
    </w:pPr>
    <w:rPr>
      <w:color w:val="3A4A50"/>
    </w:rPr>
  </w:style>
  <w:style w:type="paragraph" w:styleId="BodyTextlead">
    <w:name w:val="Body Text.lead"/>
    <w:basedOn w:val="BodyText"/>
    <w:qFormat/>
    <w:pPr/>
    <w:rPr>
      <w:color w:val="3A4A50"/>
      <w:sz w:val="26"/>
      <w:szCs w:val="26"/>
    </w:rPr>
  </w:style>
  <w:style w:type="paragraph" w:styleId="BlockQuotationsmall">
    <w:name w:val="Block Quotation.small"/>
    <w:basedOn w:val="BlockQuotation"/>
    <w:qFormat/>
    <w:pPr/>
    <w:rPr>
      <w:sz w:val="20"/>
      <w:szCs w:val="20"/>
    </w:rPr>
  </w:style>
  <w:style w:type="paragraph" w:styleId="Heading2pb">
    <w:name w:val="Heading 2.pb"/>
    <w:basedOn w:val="Heading2"/>
    <w:qFormat/>
    <w:pPr>
      <w:pageBreakBefore/>
      <w:ind w:hanging="0" w:left="0"/>
      <w:outlineLvl w:val="9"/>
    </w:pPr>
    <w:rPr/>
  </w:style>
  <w:style w:type="paragraph" w:styleId="TableHeading">
    <w:name w:val="Table Heading"/>
    <w:basedOn w:val="TableContents"/>
    <w:qFormat/>
    <w:pPr>
      <w:suppressLineNumbers/>
      <w:shd w:fill="114643" w:val="clear"/>
      <w:jc w:val="left"/>
    </w:pPr>
    <w:rPr>
      <w:rFonts w:ascii="Liberation Sans;Arial;sans-serif" w:hAnsi="Liberation Sans;Arial;sans-serif" w:eastAsia="Liberation Sans;Arial;sans-serif" w:cs="Liberation Sans;Arial;sans-serif"/>
      <w:b/>
      <w:bCs/>
      <w:color w:val="FFFFFF"/>
    </w:rPr>
  </w:style>
  <w:style w:type="paragraph" w:styleId="BodyTextcodecap">
    <w:name w:val="Body Text.codecap"/>
    <w:basedOn w:val="BodyText"/>
    <w:qFormat/>
    <w:pPr>
      <w:spacing w:before="160" w:after="40"/>
      <w:ind w:left="160" w:right="160"/>
    </w:pPr>
    <w:rPr>
      <w:rFonts w:ascii="Liberation Sans;Arial;sans-serif" w:hAnsi="Liberation Sans;Arial;sans-serif" w:eastAsia="Liberation Sans;Arial;sans-serif" w:cs="Liberation Sans;Arial;sans-serif"/>
      <w:color w:val="6A757A"/>
      <w:sz w:val="18"/>
      <w:szCs w:val="18"/>
    </w:rPr>
  </w:style>
  <w:style w:type="paragraph" w:styleId="BodyTextsmall">
    <w:name w:val="Body Text.small"/>
    <w:basedOn w:val="BodyText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Phenograph / Oblivion — отчёт о продукте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