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Methodik Details: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Im Rahmen dieser Analyse wird eine NGS Analyse mittels Short-Read-Sequencing Technologie durchgeführt, welche zur Detektion von DNS-Veränderungen in bestimmten genomischen Bereichen genutzt wird. Zur Anreicherung, der Zielregionen wird ein sondenbasiertes Hybridiersungsverfahren genutzt (AGILENT SureSelect Enzymatic Fragmentation Kit und SureSelect XT HS Target Enrichment revA, GIN_RNA_FUSION_v0 Panel – Details siehe https://github.com/Neuropathology-Giessen/GIN-RNA-Panel-Details), welches mittels eines Pipettierroboters (AGILENT Magnis NGS Prep System) ausgeführt wird. Die </w:t>
      </w:r>
      <w:r>
        <w:rPr>
          <w:lang w:val="en-US"/>
        </w:rPr>
        <w:t xml:space="preserve">Library QC erfolgt mittels Tapestation D1000 Screentape (Agilent). </w:t>
      </w:r>
      <w:r>
        <w:rPr/>
        <w:t xml:space="preserve">Die anschließende Analyse wird auf einer Illumina MiSeq Platform durchgeführt.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Die Analyse erfolgt mit EasyFuse in Kombination mit in-house Pipelines </w:t>
      </w:r>
      <w:r>
        <w:rPr/>
        <w:t>auf dem humanen Referenzgenom hg38/GRCh38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Varianten mit einer Allelfrequenz &lt; 5% werden in der Standardanalyse nicht erfasst. Varianten innerhalb des mitochondriellen Genoms werden, sofern nicht anders angegeben, nicht analysiert. In Einzelfällen können zufällige Homologien, Repeat-Expansionen, Homopolymere, Paraloge, Pseudogene oder Fehlalignments zu falsch-positiven bzw. falsch-negativen Ergebnissen führen.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6402d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46402d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46402d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786c91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46402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46402d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786c9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05c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137</Words>
  <Characters>1092</Characters>
  <CharactersWithSpaces>1228</CharactersWithSpaces>
  <Paragraphs>4</Paragraphs>
  <Company>UKGM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2021-10-26T10:11:00Z</dcterms:created>
  <dc:creator>Daniel Amsel</dc:creator>
  <dc:description/>
  <dc:language>de-DE</dc:language>
  <cp:lastModifiedBy/>
  <dcterms:modified xsi:type="dcterms:W3CDTF">2022-02-04T13:07:22Z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UKGM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