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FLEX-DBS manuscript: working notes</w:t>
      </w:r>
    </w:p>
    <w:bookmarkStart w:id="37" w:name="working-notes"/>
    <w:p>
      <w:pPr>
        <w:pStyle w:val="Heading2"/>
      </w:pPr>
      <w:r>
        <w:t xml:space="preserve">Working notes</w:t>
      </w:r>
    </w:p>
    <w:bookmarkStart w:id="20" w:name="notes-data"/>
    <w:p>
      <w:pPr>
        <w:pStyle w:val="Heading3"/>
      </w:pPr>
      <w:r>
        <w:t xml:space="preserve">Data still needed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Electrode construction (Section 3.1).</w:t>
      </w:r>
      <w:r>
        <w:t xml:space="preserve"> </w:t>
      </w:r>
      <w:r>
        <w:t xml:space="preserve">Materials, wire diameter, insulation, exposed length or tip geometry, bilateral spacing, return electrode, connector and fabrication steps. Planned figure: electrode photograph and schematic.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Surgery, animals and ethics.</w:t>
      </w:r>
      <w:r>
        <w:t xml:space="preserve"> </w:t>
      </w:r>
      <w:r>
        <w:t xml:space="preserve">Ethics statement, strain, sex, age, housing, stereotaxic target and coordinates, anesthesia and analgesia, electrode exposed surface area, IACUC protocol number, and the implantation date that anchors</w:t>
      </w:r>
      <w:r>
        <w:t xml:space="preserve"> </w:t>
      </w:r>
      <w:r>
        <w:t xml:space="preserve">“weeks after implantation”</w:t>
      </w:r>
      <w:r>
        <w:t xml:space="preserve"> </w:t>
      </w:r>
      <w:r>
        <w:t xml:space="preserve">in Section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In-vivo validation (Sections 6.1–6.3).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Abstract and Conclusions.</w:t>
      </w:r>
      <w:r>
        <w:t xml:space="preserve"> </w:t>
      </w:r>
      <w:r>
        <w:t xml:space="preserve">Update the Results and Conclusions once in-vivo data exist; both currently describe design, 1 kΩ bench, impedance and battery results only.</w:t>
      </w:r>
    </w:p>
    <w:bookmarkEnd w:id="20"/>
    <w:bookmarkStart w:id="21" w:name="notes-impedance"/>
    <w:p>
      <w:pPr>
        <w:pStyle w:val="Heading3"/>
      </w:pPr>
      <w:r>
        <w:t xml:space="preserve">Impedance measurement</w:t>
      </w:r>
    </w:p>
    <w:p>
      <w:pPr>
        <w:numPr>
          <w:ilvl w:val="0"/>
          <w:numId w:val="1002"/>
        </w:numPr>
      </w:pPr>
      <w:r>
        <w:t xml:space="preserve">Data come from the platinum cohort 1 (M1, M2) and platinum cohort 2 (F1, F2) sheets. Excluded: M1 output 0 (near 0 V throughout, likely a short) and both electrodes of F1 (unstable; 47–118 kΩ and 23–106 kΩ between sessions, with within-session drift at 7 weeks). Analyzed: five electrodes from M1, M2 and F2. Confirm the wording of the exclusion criteria, and consider stating a quantitative criterion.</w:t>
      </w:r>
    </w:p>
    <w:p>
      <w:pPr>
        <w:numPr>
          <w:ilvl w:val="0"/>
          <w:numId w:val="1002"/>
        </w:numPr>
      </w:pPr>
      <w:r>
        <w:t xml:space="preserve">The StimJim bench check (2/10/20/68 kΩ) showed its voltage read-back 6–73 % below the oscilloscope, which biases the in-vivo values low, while the 450 µs pulse biases them high. Consider remeasuring with an impedance meter (for example, a NanoZ at 1 kHz) or with an oscilloscope on the StimJim output, and report both.</w:t>
      </w:r>
    </w:p>
    <w:p>
      <w:pPr>
        <w:numPr>
          <w:ilvl w:val="0"/>
          <w:numId w:val="1002"/>
        </w:numPr>
      </w:pPr>
      <w:r>
        <w:t xml:space="preserve">The 450 µs measurement pulse is longer than the DBS pulses; a measurement at the stimulation pulse width would better match the compliance calculation.</w:t>
      </w:r>
    </w:p>
    <w:p>
      <w:pPr>
        <w:numPr>
          <w:ilvl w:val="0"/>
          <w:numId w:val="1002"/>
        </w:numPr>
      </w:pPr>
      <w:r>
        <w:t xml:space="preserve">The two-electrode configuration is justified with</w:t>
      </w:r>
      <w:r>
        <w:t xml:space="preserve"> </w:t>
      </w:r>
      <w:r>
        <w:t xml:space="preserve">Koo and Weiland (2018)</w:t>
      </w:r>
      <w:r>
        <w:t xml:space="preserve">; confirm that this is the framing the authors want.</w:t>
      </w:r>
    </w:p>
    <w:bookmarkEnd w:id="21"/>
    <w:bookmarkStart w:id="22" w:name="notes-citations"/>
    <w:p>
      <w:pPr>
        <w:pStyle w:val="Heading3"/>
      </w:pPr>
      <w:r>
        <w:t xml:space="preserve">Citations to add or verify</w:t>
      </w:r>
    </w:p>
    <w:p>
      <w:pPr>
        <w:numPr>
          <w:ilvl w:val="0"/>
          <w:numId w:val="1003"/>
        </w:numPr>
      </w:pPr>
      <w:r>
        <w:t xml:space="preserve">Paulat et al. (2026)</w:t>
      </w:r>
      <w:r>
        <w:t xml:space="preserve"> </w:t>
      </w:r>
      <w:r>
        <w:t xml:space="preserve">is still a Research Square preprint (posted 2026-04-27; checked 2026-10-01). Update if it is published.</w:t>
      </w:r>
    </w:p>
    <w:bookmarkEnd w:id="22"/>
    <w:bookmarkStart w:id="23" w:name="notes-table4"/>
    <w:p>
      <w:pPr>
        <w:pStyle w:val="Heading3"/>
      </w:pPr>
      <w:r>
        <w:t xml:space="preserve">Table 4</w:t>
      </w:r>
    </w:p>
    <w:p>
      <w:pPr>
        <w:numPr>
          <w:ilvl w:val="0"/>
          <w:numId w:val="1004"/>
        </w:numPr>
      </w:pPr>
      <w:r>
        <w:t xml:space="preserve">Check whether the</w:t>
      </w:r>
      <w:r>
        <w:t xml:space="preserve"> </w:t>
      </w:r>
      <w:r>
        <w:t xml:space="preserve">Pinnell et al. (2018)</w:t>
      </w:r>
      <w:r>
        <w:t xml:space="preserve"> </w:t>
      </w:r>
      <w:r>
        <w:t xml:space="preserve">Figshare release (described as design files and assembly instructions) contains firmware source.</w:t>
      </w:r>
    </w:p>
    <w:p>
      <w:pPr>
        <w:numPr>
          <w:ilvl w:val="0"/>
          <w:numId w:val="1004"/>
        </w:numPr>
      </w:pPr>
      <w:r>
        <w:t xml:space="preserve">Supplementary files were not read for</w:t>
      </w:r>
      <w:r>
        <w:t xml:space="preserve"> </w:t>
      </w:r>
      <w:r>
        <w:t xml:space="preserve">Burton et al. (2021)</w:t>
      </w:r>
      <w:r>
        <w:t xml:space="preserve"> </w:t>
      </w:r>
      <w:r>
        <w:t xml:space="preserve">or</w:t>
      </w:r>
      <w:r>
        <w:t xml:space="preserve"> </w:t>
      </w:r>
      <w:r>
        <w:t xml:space="preserve">Shen et al. (2026)</w:t>
      </w:r>
      <w:r>
        <w:t xml:space="preserve">, and</w:t>
      </w:r>
      <w:r>
        <w:t xml:space="preserve"> </w:t>
      </w:r>
      <w:r>
        <w:t xml:space="preserve">Paulat et al. (2026)</w:t>
      </w:r>
      <w:r>
        <w:t xml:space="preserve">’s programmable ranges and battery models come from its supplement.</w:t>
      </w:r>
    </w:p>
    <w:bookmarkEnd w:id="23"/>
    <w:bookmarkStart w:id="24" w:name="notes-firmware"/>
    <w:p>
      <w:pPr>
        <w:pStyle w:val="Heading3"/>
      </w:pPr>
      <w:r>
        <w:t xml:space="preserve">Firmware and design</w:t>
      </w:r>
    </w:p>
    <w:p>
      <w:pPr>
        <w:numPr>
          <w:ilvl w:val="0"/>
          <w:numId w:val="1005"/>
        </w:numPr>
      </w:pPr>
      <w:r>
        <w:t xml:space="preserve">Firmware v0.5 delivers the 130 Hz setting as 142.5 Hz, and at 180 µs the stimulating phase measures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60 µs long and the recovery phase 22–46 µs short, leaving a 26–35 % net charge per pulse (Section 4.1). If the fixes listed in Section 7 are made before posting, remeasure and update Section 4.1, Figure 5, Table 2 and the Limitations.</w:t>
      </w:r>
    </w:p>
    <w:p>
      <w:pPr>
        <w:numPr>
          <w:ilvl w:val="0"/>
          <w:numId w:val="1005"/>
        </w:numPr>
      </w:pPr>
      <w:r>
        <w:t xml:space="preserve">The photograph in Figure 2A shows the</w:t>
      </w:r>
      <w:r>
        <w:t xml:space="preserve"> </w:t>
      </w:r>
      <w:r>
        <w:t xml:space="preserve">“v8.1”</w:t>
      </w:r>
      <w:r>
        <w:t xml:space="preserve"> </w:t>
      </w:r>
      <w:r>
        <w:t xml:space="preserve">board silkscreen; decide whether to mention the hardware revision in the text.</w:t>
      </w:r>
    </w:p>
    <w:p>
      <w:pPr>
        <w:numPr>
          <w:ilvl w:val="0"/>
          <w:numId w:val="1005"/>
        </w:numPr>
      </w:pPr>
      <w:r>
        <w:t xml:space="preserve">Supplementary S1: consider adding the BOM (</w:t>
      </w:r>
      <w:r>
        <w:rPr>
          <w:rStyle w:val="VerbatimChar"/>
        </w:rPr>
        <w:t xml:space="preserve">v8.1/BOM.csv</w:t>
      </w:r>
      <w:r>
        <w:t xml:space="preserve">) alongside the schematic.</w:t>
      </w:r>
    </w:p>
    <w:bookmarkEnd w:id="24"/>
    <w:bookmarkStart w:id="36" w:name="notes-end-matter"/>
    <w:p>
      <w:pPr>
        <w:pStyle w:val="Heading3"/>
      </w:pPr>
      <w:r>
        <w:t xml:space="preserve">End matter</w:t>
      </w:r>
    </w:p>
    <w:p>
      <w:pPr>
        <w:numPr>
          <w:ilvl w:val="0"/>
          <w:numId w:val="1006"/>
        </w:numPr>
      </w:pPr>
      <w:r>
        <w:t xml:space="preserve">Confirm author order, middle initials and affiliations.</w:t>
      </w:r>
    </w:p>
    <w:p>
      <w:pPr>
        <w:numPr>
          <w:ilvl w:val="0"/>
          <w:numId w:val="1006"/>
        </w:numPr>
      </w:pPr>
      <w:r>
        <w:t xml:space="preserve">Funding statement is pending.</w:t>
      </w:r>
    </w:p>
    <w:p>
      <w:pPr>
        <w:numPr>
          <w:ilvl w:val="0"/>
          <w:numId w:val="1006"/>
        </w:numPr>
      </w:pPr>
      <w:r>
        <w:t xml:space="preserve">Data availability: decide whether to deposit the impedance data and figure scripts in a public repository instead of</w:t>
      </w:r>
      <w:r>
        <w:t xml:space="preserve"> </w:t>
      </w:r>
      <w:r>
        <w:t xml:space="preserve">“available on request”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Before journal submission (not needed for bioRxiv): Highlights, graphical abstract, CRediT statement, generative-AI declaration, line numbers and double spacing per the Journal of Neuroscience Methods guide.</w:t>
      </w:r>
    </w:p>
    <w:bookmarkStart w:id="35" w:name="refs"/>
    <w:bookmarkStart w:id="26" w:name="ref-burton2021"/>
    <w:p>
      <w:pPr>
        <w:pStyle w:val="Bibliography"/>
      </w:pPr>
      <w:r>
        <w:t xml:space="preserve">Burton, A., Won, S.M., Sohrabi, A.K., Stuart, T., Amirhossein, A., Kim, J.U., Park, Y., Gabros, A., Rogers, J.A., Vitale, F., Richardson, A.G., Gutruf, P., 2021. Wireless, battery-free, and fully implantable electrical neurostimulation in freely moving rodents. Microsystems &amp; Nanoengineering 7, 62.</w:t>
      </w:r>
      <w:r>
        <w:t xml:space="preserve"> </w:t>
      </w:r>
      <w:hyperlink r:id="rId25">
        <w:r>
          <w:rPr>
            <w:rStyle w:val="Hyperlink"/>
          </w:rPr>
          <w:t xml:space="preserve">https://doi.org/10.1038/s41378-021-00294-7</w:t>
        </w:r>
      </w:hyperlink>
    </w:p>
    <w:bookmarkEnd w:id="26"/>
    <w:bookmarkStart w:id="28" w:name="ref-koo2018"/>
    <w:p>
      <w:pPr>
        <w:pStyle w:val="Bibliography"/>
      </w:pPr>
      <w:r>
        <w:t xml:space="preserve">Koo, B., Weiland, J., 2018. Experimental factors effecting stability of electrochemical impedance spectroscopy measurements, in: 2018 40th Annual International Conference of the IEEE Engineering in Medicine and Biology Society (EMBC). pp. 2949–2952.</w:t>
      </w:r>
      <w:r>
        <w:t xml:space="preserve"> </w:t>
      </w:r>
      <w:hyperlink r:id="rId27">
        <w:r>
          <w:rPr>
            <w:rStyle w:val="Hyperlink"/>
          </w:rPr>
          <w:t xml:space="preserve">https://doi.org/10.1109/EMBC.2018.8512973</w:t>
        </w:r>
      </w:hyperlink>
    </w:p>
    <w:bookmarkEnd w:id="28"/>
    <w:bookmarkStart w:id="30" w:name="ref-paulat2026"/>
    <w:p>
      <w:pPr>
        <w:pStyle w:val="Bibliography"/>
      </w:pPr>
      <w:r>
        <w:t xml:space="preserve">Paulat, R., Koschützke, L., Haumesser, J., Maurer, L., Altschüler, J., Tang, H., Hounchonou, H., Daugardt, A., Harnack, D., Just, V., Schulz, G., Harms, C., Kühn, A.A., Wenger, N., Riesen, C. van, 2026. Wireless lightweight implantable pulse generators enable chronic dual-target deep brain stimulation in rodent disease models.</w:t>
      </w:r>
      <w:r>
        <w:t xml:space="preserve"> </w:t>
      </w:r>
      <w:hyperlink r:id="rId29">
        <w:r>
          <w:rPr>
            <w:rStyle w:val="Hyperlink"/>
          </w:rPr>
          <w:t xml:space="preserve">https://doi.org/10.21203/rs.3.rs-9019884/v1</w:t>
        </w:r>
      </w:hyperlink>
    </w:p>
    <w:bookmarkEnd w:id="30"/>
    <w:bookmarkStart w:id="32" w:name="ref-pinnell2018"/>
    <w:p>
      <w:pPr>
        <w:pStyle w:val="Bibliography"/>
      </w:pPr>
      <w:r>
        <w:t xml:space="preserve">Pinnell, R.C., Pereira de Vasconcelos, A., Cassel, J.C., Hofmann, U.G., 2018. A miniaturized, programmable deep-brain stimulator for group-housing and water maze use. Frontiers in Neuroscience 12, 231.</w:t>
      </w:r>
      <w:r>
        <w:t xml:space="preserve"> </w:t>
      </w:r>
      <w:hyperlink r:id="rId31">
        <w:r>
          <w:rPr>
            <w:rStyle w:val="Hyperlink"/>
          </w:rPr>
          <w:t xml:space="preserve">https://doi.org/10.3389/fnins.2018.00231</w:t>
        </w:r>
      </w:hyperlink>
    </w:p>
    <w:bookmarkEnd w:id="32"/>
    <w:bookmarkStart w:id="34" w:name="ref-shen2026"/>
    <w:p>
      <w:pPr>
        <w:pStyle w:val="Bibliography"/>
      </w:pPr>
      <w:r>
        <w:t xml:space="preserve">Shen, Y., Zhao, D., Lv, Y., Liu, Y., Chen, Y., Zhang, Y., Chen, S., 2026. A wearable deep brain stimulation system for behavioral studies in rodents. Frontiers in Neuroscience 19, 1707636.</w:t>
      </w:r>
      <w:r>
        <w:t xml:space="preserve"> </w:t>
      </w:r>
      <w:hyperlink r:id="rId33">
        <w:r>
          <w:rPr>
            <w:rStyle w:val="Hyperlink"/>
          </w:rPr>
          <w:t xml:space="preserve">https://doi.org/10.3389/fnins.2025.1707636</w:t>
        </w:r>
      </w:hyperlink>
    </w:p>
    <w:bookmarkEnd w:id="34"/>
    <w:bookmarkEnd w:id="35"/>
    <w:bookmarkEnd w:id="36"/>
    <w:bookmarkEnd w:id="37"/>
    <w:sectPr w:rsidR="00E316EB" w:rsidRPr="001C2806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28C7C2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EECE7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5B0421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18A941F7"/>
    <w:multiLevelType w:val="hybridMultilevel"/>
    <w:tmpl w:val="C394759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CA22221"/>
    <w:multiLevelType w:val="hybridMultilevel"/>
    <w:tmpl w:val="A724A1F0"/>
    <w:lvl w:ilvl="0" w:tplc="E2AEAFB0">
      <w:start w:val="5"/>
      <w:numFmt w:val="bullet"/>
      <w:lvlText w:val=""/>
      <w:lvlJc w:val="left"/>
      <w:pPr>
        <w:ind w:hanging="360" w:left="840"/>
      </w:pPr>
      <w:rPr>
        <w:rFonts w:ascii="Symbol" w:cstheme="minorBidi" w:eastAsiaTheme="minorEastAsia" w:hAnsi="Symbol" w:hint="default"/>
        <w:b/>
      </w:rPr>
    </w:lvl>
    <w:lvl w:ilvl="1" w:tentative="1" w:tplc="04090003">
      <w:start w:val="1"/>
      <w:numFmt w:val="bullet"/>
      <w:lvlText w:val="o"/>
      <w:lvlJc w:val="left"/>
      <w:pPr>
        <w:ind w:hanging="360" w:left="15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2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8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0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58279008" w:numId="1">
    <w:abstractNumId w:val="0"/>
  </w:num>
  <w:num w16cid:durableId="985663791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61371411" w:numId="3">
    <w:abstractNumId w:val="1"/>
  </w:num>
  <w:num w16cid:durableId="1324238752"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25407379" w:numId="5">
    <w:abstractNumId w:val="1"/>
  </w:num>
  <w:num w16cid:durableId="2053338442" w:numId="6">
    <w:abstractNumId w:val="4"/>
  </w:num>
  <w:num w16cid:durableId="288636368" w:numId="7">
    <w:abstractNumId w:val="3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16EB"/>
    <w:rsid w:val="00041E88"/>
    <w:rsid w:val="001C2806"/>
    <w:rsid w:val="001E581E"/>
    <w:rsid w:val="00351DD9"/>
    <w:rsid w:val="003B7DA0"/>
    <w:rsid w:val="00432BFC"/>
    <w:rsid w:val="00461A49"/>
    <w:rsid w:val="0050151C"/>
    <w:rsid w:val="00510E20"/>
    <w:rsid w:val="00554640"/>
    <w:rsid w:val="005A45DD"/>
    <w:rsid w:val="006073E7"/>
    <w:rsid w:val="00646927"/>
    <w:rsid w:val="00697290"/>
    <w:rsid w:val="00772AC7"/>
    <w:rsid w:val="007A10ED"/>
    <w:rsid w:val="007D733B"/>
    <w:rsid w:val="007F1A92"/>
    <w:rsid w:val="0089342C"/>
    <w:rsid w:val="008A5A33"/>
    <w:rsid w:val="008D01B5"/>
    <w:rsid w:val="00944234"/>
    <w:rsid w:val="00973C4E"/>
    <w:rsid w:val="00982E2A"/>
    <w:rsid w:val="009C7DCC"/>
    <w:rsid w:val="00A44237"/>
    <w:rsid w:val="00B05B95"/>
    <w:rsid w:val="00B73F5B"/>
    <w:rsid w:val="00C92543"/>
    <w:rsid w:val="00CB0547"/>
    <w:rsid w:val="00D41658"/>
    <w:rsid w:val="00D53612"/>
    <w:rsid w:val="00D76A24"/>
    <w:rsid w:val="00E23C98"/>
    <w:rsid w:val="00E316EB"/>
    <w:rsid w:val="00E5280A"/>
    <w:rsid w:val="00E97B81"/>
    <w:rsid w:val="00F71A9B"/>
    <w:rsid w:val="00F86501"/>
    <w:rsid w:val="00FE050B"/>
    <w:rsid w:val="01DD30A8"/>
    <w:rsid w:val="06B161BB"/>
    <w:rsid w:val="0988CA30"/>
    <w:rsid w:val="0B7196A9"/>
    <w:rsid w:val="0EBE3169"/>
    <w:rsid w:val="1272BEEF"/>
    <w:rsid w:val="1685B8B9"/>
    <w:rsid w:val="181CE09D"/>
    <w:rsid w:val="196A4C7F"/>
    <w:rsid w:val="1ED8A035"/>
    <w:rsid w:val="1F1D58FF"/>
    <w:rsid w:val="1FC31E0D"/>
    <w:rsid w:val="20A57DC1"/>
    <w:rsid w:val="280729BF"/>
    <w:rsid w:val="28233273"/>
    <w:rsid w:val="29212DA7"/>
    <w:rsid w:val="29E50380"/>
    <w:rsid w:val="2B98433B"/>
    <w:rsid w:val="302ACFEF"/>
    <w:rsid w:val="36D8982F"/>
    <w:rsid w:val="376B63A0"/>
    <w:rsid w:val="3978629C"/>
    <w:rsid w:val="48A97D6C"/>
    <w:rsid w:val="4A75441D"/>
    <w:rsid w:val="50B6DCDE"/>
    <w:rsid w:val="5217EFDD"/>
    <w:rsid w:val="58EAC27F"/>
    <w:rsid w:val="5C4022C5"/>
    <w:rsid w:val="60DE543E"/>
    <w:rsid w:val="60E33544"/>
    <w:rsid w:val="64BD4396"/>
    <w:rsid w:val="678E5E10"/>
    <w:rsid w:val="682E5E00"/>
    <w:rsid w:val="6CFCC091"/>
    <w:rsid w:val="6FD4ECD6"/>
    <w:rsid w:val="745038A4"/>
    <w:rsid w:val="746C5BE1"/>
    <w:rsid w:val="78EF5A6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CommentReference" w:type="character">
    <w:name w:val="annotation reference"/>
    <w:basedOn w:val="DefaultParagraphFont"/>
    <w:rsid w:val="00B73F5B"/>
    <w:rPr>
      <w:sz w:val="16"/>
      <w:szCs w:val="16"/>
    </w:rPr>
  </w:style>
  <w:style w:styleId="CommentText" w:type="paragraph">
    <w:name w:val="annotation text"/>
    <w:basedOn w:val="Normal"/>
    <w:link w:val="CommentTextChar"/>
    <w:rsid w:val="00B73F5B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B73F5B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rsid w:val="00B73F5B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B73F5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media/image3.png" Type="http://schemas.openxmlformats.org/officeDocument/2006/relationships/image" /><Relationship Id="rId10" Target="media/image2.png" Type="http://schemas.openxmlformats.org/officeDocument/2006/relationships/image" /><Relationship Id="rId9" Target="media/image1.png" Type="http://schemas.openxmlformats.org/officeDocument/2006/relationships/image" /><Relationship Type="http://schemas.openxmlformats.org/officeDocument/2006/relationships/hyperlink" Id="rId25" Target="https://doi.org/10.1038/s41378-021-00294-7" TargetMode="External" /><Relationship Type="http://schemas.openxmlformats.org/officeDocument/2006/relationships/hyperlink" Id="rId27" Target="https://doi.org/10.1109/EMBC.2018.8512973" TargetMode="External" /><Relationship Type="http://schemas.openxmlformats.org/officeDocument/2006/relationships/hyperlink" Id="rId29" Target="https://doi.org/10.21203/rs.3.rs-9019884/v1" TargetMode="External" /><Relationship Type="http://schemas.openxmlformats.org/officeDocument/2006/relationships/hyperlink" Id="rId31" Target="https://doi.org/10.3389/fnins.2018.00231" TargetMode="External" /><Relationship Type="http://schemas.openxmlformats.org/officeDocument/2006/relationships/hyperlink" Id="rId33" Target="https://doi.org/10.3389/fnins.2025.170763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38/s41378-021-00294-7" TargetMode="External" /><Relationship Type="http://schemas.openxmlformats.org/officeDocument/2006/relationships/hyperlink" Id="rId27" Target="https://doi.org/10.1109/EMBC.2018.8512973" TargetMode="External" /><Relationship Type="http://schemas.openxmlformats.org/officeDocument/2006/relationships/hyperlink" Id="rId29" Target="https://doi.org/10.21203/rs.3.rs-9019884/v1" TargetMode="External" /><Relationship Type="http://schemas.openxmlformats.org/officeDocument/2006/relationships/hyperlink" Id="rId31" Target="https://doi.org/10.3389/fnins.2018.00231" TargetMode="External" /><Relationship Type="http://schemas.openxmlformats.org/officeDocument/2006/relationships/hyperlink" Id="rId33" Target="https://doi.org/10.3389/fnins.2025.170763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6597</Words>
  <Characters>37606</Characters>
  <Application>Microsoft Office Word</Application>
  <DocSecurity>0</DocSecurity>
  <Lines>313</Lines>
  <Paragraphs>88</Paragraphs>
  <ScaleCrop>false</ScaleCrop>
  <Company/>
  <LinksUpToDate>false</LinksUpToDate>
  <CharactersWithSpaces>44115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FLEX-DBS manuscript: working notes</dc:title>
  <dc:creator/>
  <cp:keywords/>
  <dcterms:created xsi:type="dcterms:W3CDTF">2026-10-01T14:31:13Z</dcterms:created>
  <dcterms:modified xsi:type="dcterms:W3CDTF">2026-10-01T14:31:13Z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templates/elsevier-harvard.csl</vt:lpwstr>
  </property>
  <property fmtid="{D5CDD505-2E9C-101B-9397-08002B2CF9AE}" pid="4" name="date">
    <vt:lpwstr/>
  </property>
</Properties>
</file>