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Matt Gaidica</w:t>
      </w:r>
      <w:r>
        <w:rPr>
          <w:vertAlign w:val="superscript"/>
        </w:rPr>
        <w:t xml:space="preserve">1,*</w:t>
      </w:r>
      <w:r>
        <w:t xml:space="preserve">, Robert D. Graham</w:t>
      </w:r>
      <w:r>
        <w:rPr>
          <w:vertAlign w:val="superscript"/>
        </w:rPr>
        <w:t xml:space="preserve">2</w:t>
      </w:r>
      <w:r>
        <w:t xml:space="preserve">, Meaghan C. Creed</w:t>
      </w:r>
      <w:r>
        <w:rPr>
          <w:vertAlign w:val="superscript"/>
        </w:rPr>
        <w:t xml:space="preserve">2</w:t>
      </w:r>
    </w:p>
    <w:p>
      <w:pPr>
        <w:pStyle w:val="BodyText"/>
      </w:pPr>
      <w:r>
        <w:rPr>
          <w:vertAlign w:val="superscript"/>
        </w:rPr>
        <w:t xml:space="preserve">1</w:t>
      </w:r>
      <w:r>
        <w:t xml:space="preserve">Department of Neuroscience, Washington University School of Medicine, St. Louis, MO, USA</w:t>
      </w:r>
    </w:p>
    <w:p>
      <w:pPr>
        <w:pStyle w:val="BodyText"/>
      </w:pPr>
      <w:r>
        <w:rPr>
          <w:vertAlign w:val="superscript"/>
        </w:rPr>
        <w:t xml:space="preserve">2</w:t>
      </w:r>
      <w:r>
        <w:t xml:space="preserve">Department of Anesthesiology, Washington University School of Medicine, St. Louis, MO, USA</w:t>
      </w:r>
    </w:p>
    <w:p>
      <w:pPr>
        <w:pStyle w:val="BodyText"/>
      </w:pPr>
      <w:r>
        <w:rPr>
          <w:vertAlign w:val="superscript"/>
        </w:rPr>
        <w:t xml:space="preserve">*</w:t>
      </w:r>
      <w:r>
        <w:t xml:space="preserve">Corresponding author: Matt Gaidica, gaidica@wustl.edu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Existing wireless mouse stimulators achieve long implanted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and runs on two size-13 zinc-air cells, which can be exchanged without handling the implant.</w:t>
      </w:r>
    </w:p>
    <w:p>
      <w:pPr>
        <w:pStyle w:val="BodyText"/>
      </w:pPr>
      <w:r>
        <w:rPr>
          <w:b/>
          <w:bCs/>
        </w:rPr>
        <w:t xml:space="preserve">Results:</w:t>
      </w:r>
      <w:r>
        <w:t xml:space="preserve"> </w:t>
      </w:r>
      <w:r>
        <w:t xml:space="preserve">Battery current was 1.47–1.89 mA in standby and 3.15–3.42 mA during stimulation at 60–400 µA, giving about three days of continuous stimulation per pair of cells. Implanted platinum electrodes presented 37–80 kΩ over five weeks in two mice, placing the maximum regulated current at roughly 60–120 µA. Analysis of the current-pump network bounds load-dependent current error at 4–8 % for these loads.</w:t>
      </w:r>
    </w:p>
    <w:p>
      <w:pPr>
        <w:pStyle w:val="BodyText"/>
      </w:pPr>
      <w:r>
        <w:rPr>
          <w:b/>
          <w:bCs/>
        </w:rPr>
        <w:t xml:space="preserve">Comparison with existing methods:</w:t>
      </w:r>
      <w:r>
        <w:t xml:space="preserve"> </w:t>
      </w:r>
      <w:r>
        <w:t xml:space="preserve">Mouse-scale wireless systems with runtimes of weeks draw roughly 8–22 µA from supplies of about 3 V and are configured before implantation or through a near-field or cable programmer, with a magnet to switch stimulation or presets. FLEX-DBS instead offers real-time phone control, bilateral constant-current output, burst mode and higher compliance, at the cost of runtime measured in days.</w:t>
      </w:r>
    </w:p>
    <w:p>
      <w:pPr>
        <w:pStyle w:val="BodyText"/>
      </w:pPr>
      <w:r>
        <w:rPr>
          <w:b/>
          <w:bCs/>
        </w:rPr>
        <w:t xml:space="preserve">Conclusions:</w:t>
      </w:r>
      <w:r>
        <w:t xml:space="preserve"> </w:t>
      </w:r>
      <w:r>
        <w:t xml:space="preserve">FLEX-DBS supports untethered, multiday DBS experiments in which parameters must be set, changed and verified at the cage. Electrode impedance, rather than the programmable range, sets the usable stimulation amplitude in vivo.</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Most systems for delivering preclinical DBS require the rodent to be physically tethered to an external pulse generator, which constrains experimental design in several ways. Tethering can be stressful, typically requires habituation before behavior normalizes, and restricts the animal’s movement.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For several emerging indications, therapeutic effects develop over longer periods than the acute motor effects that dominate preclinical work. A wireless, battery-powered system for delivering sustained DBS in rodents would support mechanistic studies of why efficacy is lost with long-term stimulation and of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therapeutic and side-effect profiles of subthalamic stimulation depend on parameters that are still being optimized preclinically</w:t>
      </w:r>
      <w:r>
        <w:t xml:space="preserve"> </w:t>
      </w:r>
      <w:r>
        <w:t xml:space="preserve">(Creed, 2018)</w:t>
      </w:r>
      <w:r>
        <w:t xml:space="preserve">. Existing mouse-scale wireless systems also run from supplies of about 3 V, and several are single-channel (Section 5).</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uninterrupted experiments with noninvasive battery exchange.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tethered and published wireless systems. For this operating regime, generous compliance voltage, a precision current source, live wireless control and a phone-based interface take priority over the minimal quiescent current needed for maintenance-free implantation over weeks or months. Longer protocols remain possible through brief battery exchange, without reintroducing a tether or interrupting the animal overnight. By combining multiday untethered operation with parameter flexibility and verified current delivery, FLEX-DBS enables home-cage, social and extended-duration DBS experiments that are impractical with tethered stimulators or fixed-parameter implants, and supports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Every implanted or head-mounted constant-current stimulator contains the same eight elements, and the design space is defined by how each is implemented:</w:t>
      </w:r>
    </w:p>
    <w:p>
      <w:pPr>
        <w:numPr>
          <w:ilvl w:val="0"/>
          <w:numId w:val="1001"/>
        </w:numPr>
      </w:pPr>
      <w:r>
        <w:rPr>
          <w:b/>
          <w:bCs/>
        </w:rPr>
        <w:t xml:space="preserve">Energy source.</w:t>
      </w:r>
      <w:r>
        <w:t xml:space="preserve"> </w:t>
      </w:r>
      <w:r>
        <w:t xml:space="preserve">Primary or rechargeable cells; the cell chemistry sets the rail voltage and the usable capacity.</w:t>
      </w:r>
    </w:p>
    <w:p>
      <w:pPr>
        <w:numPr>
          <w:ilvl w:val="0"/>
          <w:numId w:val="1001"/>
        </w:numPr>
      </w:pPr>
      <w:r>
        <w:rPr>
          <w:b/>
          <w:bCs/>
        </w:rPr>
        <w:t xml:space="preserve">Power conditioning and compliance-voltage generation.</w:t>
      </w:r>
      <w:r>
        <w:t xml:space="preserve"> </w:t>
      </w:r>
      <w:r>
        <w:t xml:space="preserve">Either the battery drives the output stage directly (compliance limited to the cell voltage, typically</w:t>
      </w:r>
      <w:r>
        <w:t xml:space="preserve"> </w:t>
      </w:r>
      <m:oMath>
        <m:r>
          <m:rPr>
            <m:sty m:val="p"/>
          </m:rPr>
          <m:t>∼</m:t>
        </m:r>
      </m:oMath>
      <w:r>
        <w:t xml:space="preserve">3 V) or a converter generates higher and/or negative rails.</w:t>
      </w:r>
    </w:p>
    <w:p>
      <w:pPr>
        <w:numPr>
          <w:ilvl w:val="0"/>
          <w:numId w:val="1001"/>
        </w:numPr>
      </w:pPr>
      <w:r>
        <w:rPr>
          <w:b/>
          <w:bCs/>
        </w:rPr>
        <w:t xml:space="preserve">Stimulation timing and waveform generation.</w:t>
      </w:r>
      <w:r>
        <w:t xml:space="preserve"> </w:t>
      </w:r>
      <w:r>
        <w:t xml:space="preserve">A microcontroller timer, a dedicated hardware sequencer, or an analog oscillator; the choice sets timing resolution and the processor duty cycle.</w:t>
      </w:r>
    </w:p>
    <w:p>
      <w:pPr>
        <w:numPr>
          <w:ilvl w:val="0"/>
          <w:numId w:val="1001"/>
        </w:numPr>
      </w:pPr>
      <w:r>
        <w:rPr>
          <w:b/>
          <w:bCs/>
        </w:rPr>
        <w:t xml:space="preserve">Current regulation.</w:t>
      </w:r>
      <w:r>
        <w:t xml:space="preserve"> </w:t>
      </w:r>
      <w:r>
        <w:t xml:space="preserve">A programmable current source (Howland pump, current-mirror DAC, or a resistor-defined source), or a constant-voltage output with no regulation.</w:t>
      </w:r>
    </w:p>
    <w:p>
      <w:pPr>
        <w:numPr>
          <w:ilvl w:val="0"/>
          <w:numId w:val="1001"/>
        </w:numPr>
      </w:pPr>
      <w:r>
        <w:rPr>
          <w:b/>
          <w:bCs/>
        </w:rPr>
        <w:t xml:space="preserve">Polarity and output routing.</w:t>
      </w:r>
      <w:r>
        <w:t xml:space="preserve"> </w:t>
      </w:r>
      <w:r>
        <w:t xml:space="preserve">Switches or an H-bridge that direct the regulated current to one or more electrodes and, for biphasic stimulation, reverse it.</w:t>
      </w:r>
    </w:p>
    <w:p>
      <w:pPr>
        <w:numPr>
          <w:ilvl w:val="0"/>
          <w:numId w:val="1001"/>
        </w:numPr>
      </w:pPr>
      <w:r>
        <w:rPr>
          <w:b/>
          <w:bCs/>
        </w:rPr>
        <w:t xml:space="preserve">Charge recovery.</w:t>
      </w:r>
      <w:r>
        <w:t xml:space="preserve"> </w:t>
      </w:r>
      <w:r>
        <w:t xml:space="preserve">Active reversal of current (symmetric or asymmetric), passive electrode shorting, or none.</w:t>
      </w:r>
    </w:p>
    <w:p>
      <w:pPr>
        <w:numPr>
          <w:ilvl w:val="0"/>
          <w:numId w:val="1001"/>
        </w:numPr>
      </w:pPr>
      <w:r>
        <w:rPr>
          <w:b/>
          <w:bCs/>
        </w:rPr>
        <w:t xml:space="preserve">Supervisory logic.</w:t>
      </w:r>
      <w:r>
        <w:t xml:space="preserve"> </w:t>
      </w:r>
      <w:r>
        <w:t xml:space="preserve">The microcontroller that stores parameters, sequences the pulse, and monitors the battery.</w:t>
      </w:r>
    </w:p>
    <w:p>
      <w:pPr>
        <w:numPr>
          <w:ilvl w:val="0"/>
          <w:numId w:val="1001"/>
        </w:numPr>
      </w:pPr>
      <w:r>
        <w:rPr>
          <w:b/>
          <w:bCs/>
        </w:rPr>
        <w:t xml:space="preserve">Wireless control and telemetry.</w:t>
      </w:r>
      <w:r>
        <w:t xml:space="preserve"> </w:t>
      </w:r>
      <w:r>
        <w:t xml:space="preserve">A radio for real-time control, a near-field or magnetic interface for occasional reprogramming, or none.</w:t>
      </w:r>
    </w:p>
    <w:p>
      <w:pPr>
        <w:pStyle w:val="FirstParagraph"/>
      </w:pPr>
      <w:r>
        <w:t xml:space="preserve">The same block diagram exposes the principal trade-offs: battery-direct versus boosted rails, constant-current versus constant-voltage stimulation, single versus split supplies, active versus passive charge recovery, real-time wireless control versus autonomous operation, and experimental flexibility versus power optimization for long-term implantation. Each published rodent stimulator in Section 5 can be placed on this diagram by naming its choice for each block.</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is provided as Supplementary material S1,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 This choice prioritizes compliance and precision over the quiescent-current constraints of a fully implanted, long-duration system (Section 7).</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 Calibration of the delivered current is described in Section 4.1.</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reversed phase carries the same charge as the stimulating phase, so each pulse is charge-balanced by construction.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Interrupt latency, tick quantization and the DAC write add a fixed</w:t>
      </w:r>
      <w:r>
        <w:t xml:space="preserve"> </w:t>
      </w:r>
      <m:oMath>
        <m:r>
          <m:rPr>
            <m:sty m:val="p"/>
          </m:rPr>
          <m:t>∼</m:t>
        </m:r>
      </m:oMath>
      <w:r>
        <w:t xml:space="preserve">117 µs to each stimulating phase, which the firmware subtracts from the programmed pulse width; settings of 117 µs or less therefore produce a stimulating phase of</w:t>
      </w:r>
      <w:r>
        <w:t xml:space="preserve"> </w:t>
      </w:r>
      <m:oMath>
        <m:r>
          <m:rPr>
            <m:sty m:val="p"/>
          </m:rPr>
          <m:t>∼</m:t>
        </m:r>
      </m:oMath>
      <w:r>
        <w:t xml:space="preserve">117 µs rather than the programmed value. The stimulation period is set by a periodic timer whose period is computed in whole milliseconds, rounded down, so the delivered frequency takes one of seven values between 83.3 and 166.7 Hz (Table 2). The 130 Hz setting used throughout this work delivers 142.9 Hz; 100 and 125 Hz are delivered exactly.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charge-balanced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limited by compliance at high load (Section 3.3)</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m:oMath>
              <m:r>
                <m:rPr>
                  <m:sty m:val="p"/>
                </m:rPr>
                <m:t>∼</m:t>
              </m:r>
            </m:oMath>
            <w:r>
              <w:t xml:space="preserve">120–600 µs, quantized to 30.5 µs; settings of 117 µs or less deliver</w:t>
            </w:r>
            <w:r>
              <w:t xml:space="preserve"> </w:t>
            </w:r>
            <m:oMath>
              <m:r>
                <m:rPr>
                  <m:sty m:val="p"/>
                </m:rPr>
                <m:t>∼</m:t>
              </m:r>
            </m:oMath>
            <w:r>
              <w:t xml:space="preserve">117 µs</w:t>
            </w:r>
          </w:p>
        </w:tc>
        <w:tc>
          <w:tcPr/>
          <w:p>
            <w:pPr>
              <w:pStyle w:val="Compact"/>
              <w:jc w:val="left"/>
            </w:pPr>
            <w:r>
              <w:t xml:space="preserve">Recovery phase is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 83.3, 90.9, 100, 111.1, 125, 142.9 or 166.7 Hz</w:t>
            </w:r>
          </w:p>
        </w:tc>
        <w:tc>
          <w:tcPr/>
          <w:p>
            <w:pPr>
              <w:pStyle w:val="Compact"/>
              <w:jc w:val="left"/>
            </w:pPr>
            <w:r>
              <w:t xml:space="preserve">130 Hz setting delivers 142.9 Hz</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so the phone can reconnect to inspect battery voltage, change parameters or stop stimulation without handling the animal. A status LED indicates device state.</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2012)</w:t>
      </w:r>
      <w:r>
        <w:t xml:space="preserve"> </w:t>
      </w:r>
      <w:r>
        <w:t xml:space="preserve">is the reference protocol around which the application’s defaults are written. The frequency range covers the 130 Hz clinical standard and the 80–160 Hz window in which most rodent high-frequency protocols fall; it does not extend to the 30 and 60 Hz conditions used in earlier comparative work</w:t>
      </w:r>
      <w:r>
        <w:t xml:space="preserve"> </w:t>
      </w:r>
      <w:r>
        <w:t xml:space="preserve">(Creed et al., 2011)</w:t>
      </w:r>
      <w:r>
        <w:t xml:space="preserve">, a limitation taken up in Section 7. Amplitude is programmable in</w:t>
      </w:r>
      <w:r>
        <w:t xml:space="preserve"> </w:t>
      </w:r>
      <m:oMath>
        <m:r>
          <m:rPr>
            <m:sty m:val="p"/>
          </m:rPr>
          <m:t>∼</m:t>
        </m:r>
      </m:oMath>
      <w:r>
        <w:t xml:space="preserve">6 µA steps to 600 µA nominal, which covers the 100 µA protocols above and the several-hundred-microampere range used in behavioral studies</w:t>
      </w:r>
      <w:r>
        <w:t xml:space="preserve"> </w:t>
      </w:r>
      <w:r>
        <w:t xml:space="preserve">(Aleksandrova et al., 2013; Creed et al., 2013)</w:t>
      </w:r>
      <w:r>
        <w:t xml:space="preserve">. Firmware v0.5 does not yet deliver the reference protocol exactly: the 90 µs setting produces a</w:t>
      </w:r>
      <w:r>
        <w:t xml:space="preserve"> </w:t>
      </w:r>
      <m:oMath>
        <m:r>
          <m:rPr>
            <m:sty m:val="p"/>
          </m:rPr>
          <m:t>∼</m:t>
        </m:r>
      </m:oMath>
      <w:r>
        <w:t xml:space="preserve">117 µs stimulating phase and the 130 Hz setting produces 142.9 Hz (Table 2). Both are firmware limitations with straightforward fixes (Section 7).</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is approximately ±4.6 V at 100 µA and ±3.9 V at 400 µA (derived from the schematic). Section 3 shows that the implanted electrodes used here present 37–80 kΩ in vivo,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 this is the principal reason that the present flexible, multiday platform and a power-optimized fully implanted derivative require different architectures.</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Real-time control from a phone removes the tether without removing the experimenter’s ability to intervene. 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measured platform current (Section 4.3) is dominated by the boost converter chain, the negative rail and the awake microcontroller rather than by stimulation itself. The design accepts this overhead to provide compliance, precision and reconfigurability. A fully implanted, long-duration derivative would instead treat quiescent current, rail generation, charge-recovery method and radio duty cycle as the primary constraints, and would point toward a battery-direct, hardware-timed design with an average current roughly two orders of magnitude lower (Section 7).</w:t>
      </w:r>
    </w:p>
    <w:bookmarkEnd w:id="25"/>
    <w:bookmarkEnd w:id="26"/>
    <w:bookmarkStart w:id="30" w:name="X57bda648fac4c74240b4e4e5b4df06dc7553e60"/>
    <w:p>
      <w:pPr>
        <w:pStyle w:val="Heading2"/>
      </w:pPr>
      <w:r>
        <w:t xml:space="preserve">3. Electrode impedance and stimulation robustness</w:t>
      </w:r>
    </w:p>
    <w:p>
      <w:pPr>
        <w:pStyle w:val="FirstParagraph"/>
      </w:pPr>
      <w:r>
        <w:t xml:space="preserve">Electrode characterization is part of the methods contribution because a constant-current stimulator cannot be evaluated independently of the load it drives.</w:t>
      </w:r>
    </w:p>
    <w:bookmarkStart w:id="27" w:name="electrode-construction"/>
    <w:p>
      <w:pPr>
        <w:pStyle w:val="Heading3"/>
      </w:pPr>
      <w:r>
        <w:t xml:space="preserve">3.1 Electrode construction</w:t>
      </w:r>
    </w:p>
    <w:p>
      <w:pPr>
        <w:pStyle w:val="FirstParagraph"/>
      </w:pPr>
      <w:r>
        <w:t xml:space="preserve">[Pending; see Working notes.]</w:t>
      </w:r>
    </w:p>
    <w:bookmarkEnd w:id="27"/>
    <w:bookmarkStart w:id="28" w:name="in-vivo-impedance-measurement"/>
    <w:p>
      <w:pPr>
        <w:pStyle w:val="Heading3"/>
      </w:pPr>
      <w:r>
        <w:t xml:space="preserve">3.2 In-vivo impedance measurement</w:t>
      </w:r>
    </w:p>
    <w:p>
      <w:pPr>
        <w:pStyle w:val="FirstParagraph"/>
      </w:pPr>
      <w:r>
        <w:t xml:space="preserve">Platinum electrodes were implanted bilaterally in two mice (mouse 1 and mouse 2), and impedance was measured weekly from 1 to 5 weeks after implantation. At each session a StimJim stimulator</w:t>
      </w:r>
      <w:r>
        <w:t xml:space="preserve"> </w:t>
      </w:r>
      <w:r>
        <w:t xml:space="preserve">(Cermak et al., 2019)</w:t>
      </w:r>
      <w:r>
        <w:t xml:space="preserve"> </w:t>
      </w:r>
      <w:r>
        <w:t xml:space="preserve">delivered 10 µA, 450 µs pulses at 130 Hz for 10 s through each electrode against the common return, and the pulse voltage and delivered current reported by the StimJim were recorded five times. Impedance was computed as voltage divided by delivered current and averaged over the five readings. This two-electrode configuration is the one the stimulator itself drives, and two- and three-electrode impedance measurements are highly correlated</w:t>
      </w:r>
      <w:r>
        <w:t xml:space="preserve"> </w:t>
      </w:r>
      <w:r>
        <w:t xml:space="preserve">(Koo and Weiland, 2018)</w:t>
      </w:r>
      <w:r>
        <w:t xml:space="preserve">. This pulse-based estimate matches the quantity that matters for a constant-current stimulator, the voltage required per unit of delivered current, rather than a small-signal impedance at a single frequency.</w:t>
      </w:r>
    </w:p>
    <w:p>
      <w:pPr>
        <w:pStyle w:val="BodyText"/>
      </w:pPr>
      <w:r>
        <w:t xml:space="preserve">We report one electrode per animal (output 1). The other electrode of mouse 1 read near 0 V at every session, consistent with a short to the return, so output 0 was not analyzed.</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the in-vivo values may therefore underestimate the true load. Second, the 450 µs measurement pulse is longer than typical DBS pulses, so the polarization it includes overstates the voltage needed for shorter pulses. The values below are best treated as an estimate of the load range rather than a calibrated impedance.</w:t>
      </w:r>
    </w:p>
    <w:bookmarkEnd w:id="28"/>
    <w:bookmarkStart w:id="29" w:name="Xff818d12ac2e9badea00b0c3b03353ab1a2f357"/>
    <w:p>
      <w:pPr>
        <w:pStyle w:val="Heading3"/>
      </w:pPr>
      <w:r>
        <w:t xml:space="preserve">3.3 In-vivo impedance and the compliance envelope</w:t>
      </w:r>
    </w:p>
    <w:p>
      <w:pPr>
        <w:pStyle w:val="FirstParagraph"/>
      </w:pPr>
      <w:r>
        <w:t xml:space="preserve">Measured impedances ranged from 37 to 80 kΩ over the five weeks (Figure 4A). The electrode in mouse 1 was stable at 37–49 kΩ (mean 43.9 ± 4.7 kΩ, mean ± SD across weeks), and the electrode in mouse 2 ranged from 54 to 80 kΩ (66.0 ± 11.0 kΩ), peaking at 3 weeks and falling to 60 kΩ by 5 weeks. Impedance therefore differed by about 1.5-fold between animals and varied by up to 1.5-fold within one animal over time.</w:t>
      </w:r>
    </w:p>
    <w:p>
      <w:pPr>
        <w:pStyle w:val="BodyText"/>
      </w:pPr>
      <w:r>
        <w:t xml:space="preserve">These loads place FLEX-DBS in its compliance-limited regime. With an amplifier swing of about 4.9 V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For the measured electrodes this corresponds to 95–123 µA in mouse 1 and 59–86 µA in mouse 2, compared with the 600 µA nominal range of the application. The 100 µA reference protocol was therefore within compliance for mouse 1 in three of five weeks and was not for mouse 2 at any time point. A battery-direct design with</w:t>
      </w:r>
      <w:r>
        <w:t xml:space="preserve"> </w:t>
      </w:r>
      <m:oMath>
        <m:r>
          <m:rPr>
            <m:sty m:val="p"/>
          </m:rPr>
          <m:t>∼</m:t>
        </m:r>
      </m:oMath>
      <w:r>
        <w:t xml:space="preserve">3 V of compliance would reach only</w:t>
      </w:r>
      <w:r>
        <w:t xml:space="preserve"> </w:t>
      </w:r>
      <m:oMath>
        <m:r>
          <m:rPr>
            <m:sty m:val="p"/>
          </m:rPr>
          <m:t>∼</m:t>
        </m:r>
      </m:oMath>
      <w:r>
        <w:t xml:space="preserve">38–81 µA into the same loads. The usable amplitude is set by electrode impedance and compliance together, not by the programmable range, and it changes as the electrode–tissue interface matures.</w:t>
      </w:r>
    </w:p>
    <w:bookmarkEnd w:id="29"/>
    <w:bookmarkEnd w:id="30"/>
    <w:bookmarkStart w:id="34" w:name="X9416b741bc14303dc05a5c9bb70798e5bb11912"/>
    <w:p>
      <w:pPr>
        <w:pStyle w:val="Heading2"/>
      </w:pPr>
      <w:r>
        <w:t xml:space="preserve">4. Electrical validation of the wireless stimulator</w:t>
      </w:r>
    </w:p>
    <w:bookmarkStart w:id="31" w:name="current-accuracy-and-pulse-fidelity"/>
    <w:p>
      <w:pPr>
        <w:pStyle w:val="Heading3"/>
      </w:pPr>
      <w:r>
        <w:t xml:space="preserve">4.1 Current accuracy and pulse fidelity</w:t>
      </w:r>
    </w:p>
    <w:p>
      <w:pPr>
        <w:pStyle w:val="FirstParagraph"/>
      </w:pPr>
      <w:r>
        <w:t xml:space="preserve">[Pending; see Working notes.]</w:t>
      </w:r>
    </w:p>
    <w:bookmarkEnd w:id="31"/>
    <w:bookmarkStart w:id="32" w:name="load-tolerance-and-compliance"/>
    <w:p>
      <w:pPr>
        <w:pStyle w:val="Heading3"/>
      </w:pPr>
      <w:r>
        <w:t xml:space="preserve">4.2 Load tolerance and compliance</w:t>
      </w:r>
    </w:p>
    <w:p>
      <w:pPr>
        <w:pStyle w:val="FirstParagraph"/>
      </w:pPr>
      <w:r>
        <w:t xml:space="preserve">[Pending; see Working notes.]</w:t>
      </w:r>
    </w:p>
    <w:bookmarkEnd w:id="32"/>
    <w:bookmarkStart w:id="33" w:name="battery-and-operating-duration"/>
    <w:p>
      <w:pPr>
        <w:pStyle w:val="Heading3"/>
      </w:pPr>
      <w:r>
        <w:t xml:space="preserve">4.3 Battery and operating duration</w:t>
      </w:r>
    </w:p>
    <w:p>
      <w:pPr>
        <w:pStyle w:val="FirstParagraph"/>
      </w:pPr>
      <w:r>
        <w:t xml:space="preserve">Battery current was measured at the cell terminals in each operating state with the LED heartbeat active (Table 3). The device draws 1.47 mA when idle and not advertising, 1.62 mA while advertising, 1.89 mA while connected to the application, and 3.15–3.42 mA while stimulating with 60 and 400 µA commanded, respectively, at the 130 Hz frequency setting (142.9 Hz delivered; Table 2).</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the 130 Hz setting, which delivers 142.9 Hz.</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commanded current from 60 to 400 µA adds only 0.27 mA at the battery: stimulation itself is a minor term, and the platform current (boost converter chain, negative rail, DAC and reference, and a microcontroller that remains awake to sequence pulses) sets the runtime. Second, even at the highest measured current a fresh pair of cells supports about three days of continuous stimulation, and more than five days of standby with the phone connected. Hours-long, overnight and multiday experiments can therefore run without disturbing the animal, and longer studies remain feasible through a brief, noninvasive battery exchange that avoids the restraint and handling a tether requires. Zinc-air cells are inexpensive and widely available, which suits a device whose cells are replaced frequently.</w:t>
      </w:r>
    </w:p>
    <w:p>
      <w:pPr>
        <w:pStyle w:val="BodyText"/>
      </w:pPr>
      <w:r>
        <w:t xml:space="preserve">Runtime should therefore be interpreted against the experimental protocol rather than as a binary acute-versus-chronic designation. The device can be used for chronic studies with scheduled battery exchange; it is not intended as a fully implanted, maintenance-free system operating for weeks or months. Section 7 describes why that use case requires a different architecture rather than a firmware change.</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conventional tethered stimulation and published wireless rodent stimulators that are small enough for mice or are architecturally instructive. The columns are the properties that determine whether a system can run a given experiment: species and mass, channels, output type, supply or compliance, parameter range, how parameters are set, power and operating duration, and whether the hardware and software are released.</w:t>
      </w:r>
    </w:p>
    <w:p>
      <w:pPr>
        <w:pStyle w:val="BodyText"/>
      </w:pPr>
      <w:r>
        <w:rPr>
          <w:b/>
          <w:bCs/>
        </w:rPr>
        <w:t xml:space="preserve">Table 4.</w:t>
      </w:r>
      <w:r>
        <w:t xml:space="preserve"> </w:t>
      </w:r>
      <w:r>
        <w:t xml:space="preserve">FLEX-DBS in the context of tethered stimulation and published wireless rodent stimulators. Values for published systems are as reported by the authors; blank cells are not reported in the source.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t xml:space="preserve">Tethered stimulator (reference method)</w:t>
            </w:r>
          </w:p>
        </w:tc>
        <w:tc>
          <w:tcPr/>
          <w:p>
            <w:pPr>
              <w:pStyle w:val="Compact"/>
              <w:jc w:val="left"/>
            </w:pPr>
            <w:r>
              <w:t xml:space="preserve">Any</w:t>
            </w:r>
          </w:p>
        </w:tc>
        <w:tc>
          <w:tcPr/>
          <w:p>
            <w:pPr>
              <w:pStyle w:val="Compact"/>
              <w:jc w:val="left"/>
            </w:pPr>
            <w:r>
              <w:t xml:space="preserve">n/a (tether)</w:t>
            </w:r>
          </w:p>
        </w:tc>
        <w:tc>
          <w:tcPr/>
          <w:p>
            <w:pPr>
              <w:pStyle w:val="Compact"/>
              <w:jc w:val="left"/>
            </w:pPr>
            <w:r>
              <w:t xml:space="preserve">Instrument-dependent</w:t>
            </w:r>
          </w:p>
        </w:tc>
        <w:tc>
          <w:tcPr/>
          <w:p>
            <w:pPr>
              <w:pStyle w:val="Compact"/>
              <w:jc w:val="left"/>
            </w:pPr>
            <w:r>
              <w:t xml:space="preserve">CC or CV</w:t>
            </w:r>
          </w:p>
        </w:tc>
        <w:tc>
          <w:tcPr/>
          <w:p>
            <w:pPr>
              <w:pStyle w:val="Compact"/>
              <w:jc w:val="left"/>
            </w:pPr>
            <w:r>
              <w:t xml:space="preserve">Instrument-dependent</w:t>
            </w:r>
          </w:p>
        </w:tc>
        <w:tc>
          <w:tcPr/>
          <w:p>
            <w:pPr>
              <w:pStyle w:val="Compact"/>
              <w:jc w:val="left"/>
            </w:pPr>
            <w:r>
              <w:t xml:space="preserve">Instrument-dependent</w:t>
            </w:r>
          </w:p>
        </w:tc>
        <w:tc>
          <w:tcPr/>
          <w:p>
            <w:pPr>
              <w:pStyle w:val="Compact"/>
              <w:jc w:val="left"/>
            </w:pPr>
            <w:r>
              <w:t xml:space="preserve">Wired, real time</w:t>
            </w:r>
          </w:p>
        </w:tc>
        <w:tc>
          <w:tcPr/>
          <w:p>
            <w:pPr>
              <w:pStyle w:val="Compact"/>
              <w:jc w:val="left"/>
            </w:pPr>
            <w:r>
              <w:t xml:space="preserve">Mains powered; limited by the tether</w:t>
            </w:r>
          </w:p>
        </w:tc>
        <w:tc>
          <w:tcPr/>
          <w:p>
            <w:pPr>
              <w:pStyle w:val="Compact"/>
              <w:jc w:val="left"/>
            </w:pPr>
            <w:r>
              <w:t xml:space="preserve">n/a</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pPr>
          </w:p>
        </w:tc>
        <w:tc>
          <w:tcPr/>
          <w:p>
            <w:pPr>
              <w:pStyle w:val="Compact"/>
              <w:jc w:val="left"/>
            </w:pPr>
            <w:r>
              <w:t xml:space="preserve">2; shared amplitude and timing</w:t>
            </w:r>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4.9 V swing</w:t>
            </w:r>
          </w:p>
        </w:tc>
        <w:tc>
          <w:tcPr/>
          <w:p>
            <w:pPr>
              <w:pStyle w:val="Compact"/>
              <w:jc w:val="left"/>
            </w:pPr>
            <w:r>
              <w:t xml:space="preserve">0–625 µA ideal (compliance-limited in vivo);</w:t>
            </w:r>
            <w:r>
              <w:t xml:space="preserve"> </w:t>
            </w:r>
            <m:oMath>
              <m:r>
                <m:rPr>
                  <m:sty m:val="p"/>
                </m:rPr>
                <m:t>∼</m:t>
              </m:r>
            </m:oMath>
            <w:r>
              <w:t xml:space="preserve">117–600 µs; 83.3–166.7 Hz delivered; charge-balanced biphasic, 1:5 recovery; continuous or burst</w:t>
            </w:r>
          </w:p>
        </w:tc>
        <w:tc>
          <w:tcPr/>
          <w:p>
            <w:pPr>
              <w:pStyle w:val="Compact"/>
              <w:jc w:val="left"/>
            </w:pPr>
            <w:r>
              <w:t xml:space="preserve">Real-time BLE from an iOS app; autonomous after disconnect</w:t>
            </w:r>
          </w:p>
        </w:tc>
        <w:tc>
          <w:tcPr/>
          <w:p>
            <w:pPr>
              <w:pStyle w:val="Compact"/>
              <w:jc w:val="left"/>
            </w:pPr>
            <w:r>
              <w:t xml:space="preserve">3.15–3.42 mA stimulating;</w:t>
            </w:r>
            <w:r>
              <w:t xml:space="preserve"> </w:t>
            </w:r>
            <m:oMath>
              <m:r>
                <m:rPr>
                  <m:sty m:val="p"/>
                </m:rPr>
                <m:t>∼</m:t>
              </m:r>
            </m:oMath>
            <w:r>
              <w:t xml:space="preserve">3 d per cell pair</w:t>
            </w:r>
          </w:p>
        </w:tc>
        <w:tc>
          <w:tcPr/>
          <w:p>
            <w:pPr>
              <w:pStyle w:val="Compact"/>
              <w:jc w:val="left"/>
            </w:pPr>
            <w:r>
              <w:t xml:space="preserve">Schematic, firmware, app, protocol (S1–S4)</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pPr>
          </w:p>
        </w:tc>
        <w:tc>
          <w:tcPr/>
          <w:p>
            <w:pPr>
              <w:pStyle w:val="Compact"/>
              <w:jc w:val="left"/>
            </w:pPr>
            <w:r>
              <w:t xml:space="preserve">2 (bilateral)</w:t>
            </w:r>
          </w:p>
        </w:tc>
        <w:tc>
          <w:tcPr/>
          <w:p>
            <w:pPr>
              <w:pStyle w:val="Compact"/>
            </w:pPr>
          </w:p>
        </w:tc>
        <w:tc>
          <w:tcPr/>
          <w:p>
            <w:pPr>
              <w:pStyle w:val="Compact"/>
            </w:pPr>
          </w:p>
        </w:tc>
        <w:tc>
          <w:tcPr/>
          <w:p>
            <w:pPr>
              <w:pStyle w:val="Compact"/>
              <w:jc w:val="left"/>
            </w:pPr>
            <w:r>
              <w:t xml:space="preserve">Biphasic</w:t>
            </w:r>
          </w:p>
        </w:tc>
        <w:tc>
          <w:tcPr/>
          <w:p>
            <w:pPr>
              <w:pStyle w:val="Compact"/>
            </w:pPr>
          </w:p>
        </w:tc>
        <w:tc>
          <w:tcPr/>
          <w:p>
            <w:pPr>
              <w:pStyle w:val="Compact"/>
            </w:pP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Yes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pP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and that gap reflects the cost of compliance rails, precision analog circuitry and a live radio rather than of stimulation.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37–80 kΩ measured in vivo in Section 3.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in Table 4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The comparison is not a claim of universal superiority. 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suitable. FLEX-DBS is designed for experiments in which the investigator must set, change and verify parameters at the cage, deliver known current into an uncertain load, and stimulate continuously from hours through multiple days. Section 6 tests whether it behaves like the tethered reference method it replaces.</w:t>
      </w:r>
    </w:p>
    <w:bookmarkEnd w:id="35"/>
    <w:bookmarkStart w:id="39" w:name="in-vivo-functional-validation"/>
    <w:p>
      <w:pPr>
        <w:pStyle w:val="Heading2"/>
      </w:pPr>
      <w:r>
        <w:t xml:space="preserve">6. In-vivo functional validation</w:t>
      </w:r>
    </w:p>
    <w:bookmarkStart w:id="36" w:name="experimental-paradigm"/>
    <w:p>
      <w:pPr>
        <w:pStyle w:val="Heading3"/>
      </w:pPr>
      <w:r>
        <w:t xml:space="preserve">6.1 Experimental paradigm</w:t>
      </w:r>
    </w:p>
    <w:p>
      <w:pPr>
        <w:pStyle w:val="FirstParagraph"/>
      </w:pPr>
      <w:r>
        <w:t xml:space="preserve">[Pending; see Working notes.]</w:t>
      </w:r>
    </w:p>
    <w:bookmarkEnd w:id="36"/>
    <w:bookmarkStart w:id="37" w:name="video-based-behavioral-analysis"/>
    <w:p>
      <w:pPr>
        <w:pStyle w:val="Heading3"/>
      </w:pPr>
      <w:r>
        <w:t xml:space="preserve">6.2 Video-based behavioral analysis</w:t>
      </w:r>
    </w:p>
    <w:p>
      <w:pPr>
        <w:pStyle w:val="FirstParagraph"/>
      </w:pPr>
      <w:r>
        <w:t xml:space="preserve">[Pending; see Working notes.]</w:t>
      </w:r>
    </w:p>
    <w:bookmarkEnd w:id="37"/>
    <w:bookmarkStart w:id="38" w:name="functional-equivalence"/>
    <w:p>
      <w:pPr>
        <w:pStyle w:val="Heading3"/>
      </w:pPr>
      <w:r>
        <w:t xml:space="preserve">6.3 Functional equivalence</w:t>
      </w:r>
    </w:p>
    <w:p>
      <w:pPr>
        <w:pStyle w:val="FirstParagraph"/>
      </w:pPr>
      <w:r>
        <w:t xml:space="preserve">[Pending; see Working notes.]</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live wireless control for experiments in freely moving rodents. A single pair of cells supports approximately three days of continuous stimulation, including undisturbed overnight and multiday protocols, and longer studies are possible with a brief battery exchange. The design prioritizes stimulation flexibility, electrical headroom, bilateral operation and a phone interface over maintenance-free operation for weeks or months, and the measurements reported here quantify what that priority costs and what it enables.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in-vivo impedance measurements reinforce that DBS delivery is a systems problem. Electrode impedance and stimulator compliance jointly determine whether the commanded constant current is actually delivered, and impedance differs between electrodes and changes after implantation (Section 3). A stimulator specified only by its programmable current range has not been fully specified. For the implanted platinum electrodes used here, 37–80 kΩ in vivo, the ±5 V rails of FLEX-DBS support roughly 60–120 µA, well below the 600 µA programmable range and on the order of the 100 µA protocols used in prior work. We therefore recommend reporting the compliance limit alongside the measured impedance distribution (Figure 4B) for any rodent stimulator. Two practical consequences follow. First, electrode impedance is the most direct lever on usable amplitude, and future protocols will establish a method for fabricating lower-impedance electrodes. Second, in our work stimulation parameters were guided by the behavioral effects they produced in prior studies rather than by theory alone;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current budget in Section 4.3 shows why. Only 0.27 mA of the 3.42 mA drawn during 400 µA stimulation is attributable to stimulation itself; the remainder is the platform. Each source of overhead enables a capability of FLEX-DBS: a boost converter and inverter provide ±5 V compliance; a continuously powered precision DAC and reference set the current accurately;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 A fully implanted derivative would invert the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The device’s size and mass suit a head-mounted, accessible system but exclude fully implanted use, and runtime beyond about three days of continuous stimulation requires a battery exchange. The two channels share amplitude and, in the current firmware, timing, so protocols that require different bilateral amplitudes or deliberately offset pulses are not supported without hardware or firmware changes. Firmware v0.5 quantizes the stimulation period to whole milliseconds and cannot deliver stimulating phases shorter than</w:t>
      </w:r>
      <w:r>
        <w:t xml:space="preserve"> </w:t>
      </w:r>
      <m:oMath>
        <m:r>
          <m:rPr>
            <m:sty m:val="p"/>
          </m:rPr>
          <m:t>∼</m:t>
        </m:r>
      </m:oMath>
      <w:r>
        <w:t xml:space="preserve">117 µs, so the common 130 Hz, 90 µs protocol is delivered as 142.9 Hz with a</w:t>
      </w:r>
      <w:r>
        <w:t xml:space="preserve"> </w:t>
      </w:r>
      <m:oMath>
        <m:r>
          <m:rPr>
            <m:sty m:val="p"/>
          </m:rPr>
          <m:t>∼</m:t>
        </m:r>
      </m:oMath>
      <w:r>
        <w:t xml:space="preserve">117 µs phase (Table 2). The 80 Hz frequency floor is also set in software and excludes the low-frequency protocols of comparative and therapeutic interest</w:t>
      </w:r>
      <w:r>
        <w:t xml:space="preserve"> </w:t>
      </w:r>
      <w:r>
        <w:t xml:space="preserve">(Creed et al., 2015, 2011)</w:t>
      </w:r>
      <w:r>
        <w:t xml:space="preserve">. The recovery-phase ratio is fixed at 1:5. The Howland pumps are not perfectly load-independent: with 0.1 % resistors, the worst-case resistor mismatch gives an output impedance of about 0.9 MΩ, so delivered current can fall by up to 4–8 % into the 37–80 kΩ loads measured here relative to a low-impedance load. Amplitude should therefore be interpreted against the measured load and the calibration in Section 4.1 rather than as an absolute. Finally, the impedance data come from two animals and a stimulator whose voltage read-back underestimates high loads (Section 3.2).</w:t>
      </w:r>
    </w:p>
    <w:p>
      <w:pPr>
        <w:pStyle w:val="BodyText"/>
      </w:pPr>
      <w:r>
        <w:rPr>
          <w:b/>
          <w:bCs/>
        </w:rPr>
        <w:t xml:space="preserve">Future development.</w:t>
      </w:r>
      <w:r>
        <w:t xml:space="preserve"> </w:t>
      </w:r>
      <w:r>
        <w:t xml:space="preserve">The schematic, firmware, application and protocol are released so that others can reproduce or adapt the platform (Supplementary material). Several extensions are firmware-level within the present hardware: computing the stimulation period in timer ticks rather than whole milliseconds, which would deliver 130 Hz and other frequencies exactly; raising the minimum pulse-width setting to match what is delivered, or restructuring pulse timing to reach shorter phases; independent per-channel timing; a wider frequency range; a selectable recovery ratio; and over-the-air firmware update. Lower-power, fully implanted derivatives would extend the platform’s reach without changing the role of FLEX-DBS as a configurable system for hours-long through multiday experiments.</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that supports about three days of continuous stimulation per pair of cells. Its ±5 V compliance rails deliver roughly 60–120 µA into implanted platinum electrodes of 37–80 kΩ, which shows that electrode impedance, not the programmable range, sets usable amplitude in vivo. The platform trades runtime for flexibility and is intended for experiments in which parameters must be set, changed and verified at the cage.</w:t>
      </w:r>
    </w:p>
    <w:bookmarkEnd w:id="41"/>
    <w:bookmarkStart w:id="57" w:name="figures"/>
    <w:p>
      <w:pPr>
        <w:pStyle w:val="Heading2"/>
      </w:pPr>
      <w:r>
        <w:t xml:space="preserve">Figures</w:t>
      </w:r>
    </w:p>
    <w:p>
      <w:pPr>
        <w:pStyle w:val="FirstParagraph"/>
      </w:pPr>
      <w:r>
        <w:rPr>
          <w:b/>
          <w:bCs/>
        </w:rPr>
        <w:t xml:space="preserve">Figure 1. FLEX-DBS architecture.</w:t>
      </w:r>
      <w:r>
        <w:t xml:space="preserve"> </w:t>
      </w:r>
      <w:r>
        <w:t xml:space="preserve">Functional blocks common to constant-current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with a common return. A Hall-effect sensor wakes the device when a magnet is passed over it, and parameters are set from an iOS application over BLE. Components are listed in Table 1.</w:t>
      </w:r>
    </w:p>
    <w:p>
      <w:pPr>
        <w:pStyle w:val="BodyText"/>
      </w:pPr>
      <w:r>
        <w:drawing>
          <wp:inline>
            <wp:extent cx="4114800" cy="5778564"/>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5778564"/>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With firmware v0.5, the 90 µs and 130 Hz settings deliver a</w:t>
      </w:r>
      <w:r>
        <w:t xml:space="preserve"> </w:t>
      </w:r>
      <m:oMath>
        <m:r>
          <m:rPr>
            <m:sty m:val="p"/>
          </m:rPr>
          <m:t>∼</m:t>
        </m:r>
      </m:oMath>
      <w:r>
        <w:t xml:space="preserve">117 µs stimulating phase at 142.9 Hz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In-vivo electrode impedance and the compliance envelope.</w:t>
      </w:r>
      <w:r>
        <w:t xml:space="preserve"> </w:t>
      </w:r>
      <w:r>
        <w:rPr>
          <w:i/>
          <w:iCs/>
        </w:rPr>
        <w:t xml:space="preserve">(A)</w:t>
      </w:r>
      <w:r>
        <w:t xml:space="preserve"> </w:t>
      </w:r>
      <w:r>
        <w:t xml:space="preserve">Impedance of one implanted platinum electrode per mouse from 1 to 5 weeks after implantation, measured with 10 µA, 450 µs pulses (mean of five readings per session; Section 3.2).</w:t>
      </w:r>
      <w:r>
        <w:t xml:space="preserve"> </w:t>
      </w:r>
      <w:r>
        <w:rPr>
          <w:i/>
          <w:iCs/>
        </w:rPr>
        <w:t xml:space="preserve">(B)</w:t>
      </w:r>
      <w:r>
        <w:t xml:space="preserve"> </w:t>
      </w:r>
      <w:r>
        <w:t xml:space="preserve">Largest regulated current as a function of load impedance for FLEX-DBS,</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(solid), and for an illustrative battery-direct stimulator with</w:t>
      </w:r>
      <w:r>
        <w:t xml:space="preserve"> </w:t>
      </w:r>
      <m:oMath>
        <m:r>
          <m:rPr>
            <m:sty m:val="p"/>
          </m:rPr>
          <m:t>∼</m:t>
        </m:r>
      </m:oMath>
      <w:r>
        <w:t xml:space="preserve">3 V of compliance (dashed). Points mark the measured impedances from (A) on the FLEX-DBS curve; the dotted line marks the 100 µA reference protocol.</w:t>
      </w:r>
    </w:p>
    <w:p>
      <w:pPr>
        <w:pStyle w:val="BodyText"/>
      </w:pPr>
      <w:r>
        <w:drawing>
          <wp:inline>
            <wp:extent cx="5943600" cy="2547257"/>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2547257"/>
                    </a:xfrm>
                    <a:prstGeom prst="rect">
                      <a:avLst/>
                    </a:prstGeom>
                    <a:noFill/>
                    <a:ln w="9525">
                      <a:noFill/>
                      <a:headEnd/>
                      <a:tailEnd/>
                    </a:ln>
                  </pic:spPr>
                </pic:pic>
              </a:graphicData>
            </a:graphic>
          </wp:inline>
        </w:drawing>
      </w:r>
    </w:p>
    <w:bookmarkEnd w:id="57"/>
    <w:bookmarkStart w:id="60" w:name="supplementary-material"/>
    <w:p>
      <w:pPr>
        <w:pStyle w:val="Heading2"/>
      </w:pPr>
      <w:r>
        <w:t xml:space="preserve">Supplementary material</w:t>
      </w:r>
    </w:p>
    <w:p>
      <w:pPr>
        <w:numPr>
          <w:ilvl w:val="0"/>
          <w:numId w:val="1002"/>
        </w:numPr>
      </w:pPr>
      <w:r>
        <w:rPr>
          <w:b/>
          <w:bCs/>
        </w:rPr>
        <w:t xml:space="preserve">S1.</w:t>
      </w:r>
      <w:r>
        <w:t xml:space="preserve"> </w:t>
      </w:r>
      <w:r>
        <w:t xml:space="preserve">Circuit schematic of the FLEX-DBS board (PDF).</w:t>
      </w:r>
    </w:p>
    <w:p>
      <w:pPr>
        <w:numPr>
          <w:ilvl w:val="0"/>
          <w:numId w:val="1002"/>
        </w:numPr>
      </w:pPr>
      <w:r>
        <w:rPr>
          <w:b/>
          <w:bCs/>
        </w:rPr>
        <w:t xml:space="preserve">S2.</w:t>
      </w:r>
      <w:r>
        <w:t xml:space="preserve"> </w:t>
      </w:r>
      <w:r>
        <w:t xml:space="preserve">Firmware for the BGM220S (Silicon Labs Simplicity Studio project), v0.5. Repository:</w:t>
      </w:r>
      <w:r>
        <w:t xml:space="preserve"> </w:t>
      </w:r>
      <w:hyperlink r:id="rId58">
        <w:r>
          <w:rPr>
            <w:rStyle w:val="Hyperlink"/>
          </w:rPr>
          <w:t xml:space="preserve">https://github.com/Neurotech-Hub/Creed-DBS-SiLabs</w:t>
        </w:r>
      </w:hyperlink>
    </w:p>
    <w:p>
      <w:pPr>
        <w:numPr>
          <w:ilvl w:val="0"/>
          <w:numId w:val="1002"/>
        </w:numPr>
      </w:pPr>
      <w:r>
        <w:rPr>
          <w:b/>
          <w:bCs/>
        </w:rPr>
        <w:t xml:space="preserve">S3.</w:t>
      </w:r>
      <w:r>
        <w:t xml:space="preserve"> </w:t>
      </w:r>
      <w:r>
        <w:t xml:space="preserve">MouseCap iOS application source. Repository:</w:t>
      </w:r>
      <w:r>
        <w:t xml:space="preserve"> </w:t>
      </w:r>
      <w:hyperlink r:id="rId59">
        <w:r>
          <w:rPr>
            <w:rStyle w:val="Hyperlink"/>
          </w:rPr>
          <w:t xml:space="preserve">https://github.com/Neurotech-Hub/MouseCap-iOS</w:t>
        </w:r>
      </w:hyperlink>
    </w:p>
    <w:p>
      <w:pPr>
        <w:numPr>
          <w:ilvl w:val="0"/>
          <w:numId w:val="1002"/>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2"/>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bookmarkEnd w:id="60"/>
    <w:bookmarkStart w:id="61" w:name="author-contributions"/>
    <w:p>
      <w:pPr>
        <w:pStyle w:val="Heading2"/>
      </w:pPr>
      <w:r>
        <w:t xml:space="preserve">Author contributions</w:t>
      </w:r>
    </w:p>
    <w:p>
      <w:pPr>
        <w:pStyle w:val="FirstParagraph"/>
      </w:pPr>
      <w:r>
        <w:t xml:space="preserve">[Pending; see Working notes.]</w:t>
      </w:r>
    </w:p>
    <w:bookmarkEnd w:id="61"/>
    <w:bookmarkStart w:id="62" w:name="competing-interests"/>
    <w:p>
      <w:pPr>
        <w:pStyle w:val="Heading2"/>
      </w:pPr>
      <w:r>
        <w:t xml:space="preserve">Competing interests</w:t>
      </w:r>
    </w:p>
    <w:p>
      <w:pPr>
        <w:pStyle w:val="FirstParagraph"/>
      </w:pPr>
      <w:r>
        <w:t xml:space="preserve">[Pending; see Working notes.]</w:t>
      </w:r>
    </w:p>
    <w:bookmarkEnd w:id="62"/>
    <w:bookmarkStart w:id="63" w:name="funding"/>
    <w:p>
      <w:pPr>
        <w:pStyle w:val="Heading2"/>
      </w:pPr>
      <w:r>
        <w:t xml:space="preserve">Funding</w:t>
      </w:r>
    </w:p>
    <w:p>
      <w:pPr>
        <w:pStyle w:val="FirstParagraph"/>
      </w:pPr>
      <w:r>
        <w:t xml:space="preserve">[Pending; see Working notes.]</w:t>
      </w:r>
    </w:p>
    <w:bookmarkEnd w:id="63"/>
    <w:bookmarkStart w:id="64" w:name="data-and-code-availability"/>
    <w:p>
      <w:pPr>
        <w:pStyle w:val="Heading2"/>
      </w:pPr>
      <w:r>
        <w:t xml:space="preserve">Data and code availability</w:t>
      </w:r>
    </w:p>
    <w:p>
      <w:pPr>
        <w:pStyle w:val="FirstParagraph"/>
      </w:pPr>
      <w:r>
        <w:t xml:space="preserve">The circuit schematic is provided as Supplementary material S1. Firmware, iOS application source and the BLE protocol specification are available in the repositories listed as S2–S4, and the shroud design is available at</w:t>
      </w:r>
      <w:r>
        <w:t xml:space="preserve"> </w:t>
      </w:r>
      <w:hyperlink r:id="rId23">
        <w:r>
          <w:rPr>
            <w:rStyle w:val="Hyperlink"/>
          </w:rPr>
          <w:t xml:space="preserve">https://a360.co/3TqHAxf</w:t>
        </w:r>
      </w:hyperlink>
      <w:r>
        <w:t xml:space="preserve">. The impedance data underlying Figure 4 are available from the corresponding author on request.</w:t>
      </w:r>
    </w:p>
    <w:bookmarkEnd w:id="64"/>
    <w:bookmarkStart w:id="65" w:name="acknowledgments"/>
    <w:p>
      <w:pPr>
        <w:pStyle w:val="Heading2"/>
      </w:pPr>
      <w:r>
        <w:t xml:space="preserve">Acknowledgments</w:t>
      </w:r>
    </w:p>
    <w:p>
      <w:pPr>
        <w:pStyle w:val="FirstParagraph"/>
      </w:pPr>
      <w:r>
        <w:t xml:space="preserve">[Pending; see Working notes.]</w:t>
      </w:r>
    </w:p>
    <w:bookmarkEnd w:id="65"/>
    <w:bookmarkStart w:id="123" w:name="working-notes"/>
    <w:p>
      <w:pPr>
        <w:pStyle w:val="Heading2"/>
      </w:pPr>
      <w:r>
        <w:t xml:space="preserve">Working notes</w:t>
      </w:r>
    </w:p>
    <w:p>
      <w:pPr>
        <w:pStyle w:val="FirstParagraph"/>
      </w:pPr>
      <w:r>
        <w:t xml:space="preserve">Open items for the authors. Remove this section before posting.</w:t>
      </w:r>
    </w:p>
    <w:bookmarkStart w:id="66" w:name="notes-data"/>
    <w:p>
      <w:pPr>
        <w:pStyle w:val="Heading3"/>
      </w:pPr>
      <w:r>
        <w:t xml:space="preserve">Data still needed</w:t>
      </w:r>
    </w:p>
    <w:p>
      <w:pPr>
        <w:numPr>
          <w:ilvl w:val="0"/>
          <w:numId w:val="1003"/>
        </w:numPr>
      </w:pPr>
      <w:r>
        <w:rPr>
          <w:b/>
          <w:bCs/>
        </w:rPr>
        <w:t xml:space="preserve">Device mass.</w:t>
      </w:r>
      <w:r>
        <w:t xml:space="preserve"> </w:t>
      </w:r>
      <w:r>
        <w:t xml:space="preserve">Table 4 leaves the FLEX-DBS mass blank. R. Graham (comment, 2026-09-18):</w:t>
      </w:r>
      <w:r>
        <w:t xml:space="preserve"> </w:t>
      </w:r>
      <w:r>
        <w:t xml:space="preserve">“If i remember right, we were around 4.4 grams the last time i weighed a device w/ batteries.”</w:t>
      </w:r>
      <w:r>
        <w:t xml:space="preserve"> </w:t>
      </w:r>
      <w:r>
        <w:t xml:space="preserve">Weigh the device with cells, with and without the shroud and with the programming tab removed, and add the value to Section 2.2 and Table 4.</w:t>
      </w:r>
    </w:p>
    <w:p>
      <w:pPr>
        <w:numPr>
          <w:ilvl w:val="0"/>
          <w:numId w:val="1003"/>
        </w:numPr>
      </w:pPr>
      <w:r>
        <w:rPr>
          <w:b/>
          <w:bCs/>
        </w:rPr>
        <w:t xml:space="preserve">Electrode construction (Section 3.1).</w:t>
      </w:r>
      <w:r>
        <w:t xml:space="preserve"> </w:t>
      </w:r>
      <w:r>
        <w:t xml:space="preserve">Materials, wire diameter, insulation, exposed length or tip geometry, bilateral spacing, return electrode, connector and fabrication steps. Planned figure: electrode photograph and schematic.</w:t>
      </w:r>
    </w:p>
    <w:p>
      <w:pPr>
        <w:numPr>
          <w:ilvl w:val="0"/>
          <w:numId w:val="1003"/>
        </w:numPr>
      </w:pPr>
      <w:r>
        <w:rPr>
          <w:b/>
          <w:bCs/>
        </w:rPr>
        <w:t xml:space="preserve">Surgery and animals.</w:t>
      </w:r>
      <w:r>
        <w:t xml:space="preserve"> </w:t>
      </w:r>
      <w:r>
        <w:t xml:space="preserve">Strain, sex, age, housing, stereotaxic target and coordinates, anesthesia, IACUC protocol number, and the implantation date that anchors</w:t>
      </w:r>
      <w:r>
        <w:t xml:space="preserve"> </w:t>
      </w:r>
      <w:r>
        <w:t xml:space="preserve">“weeks after implantation”</w:t>
      </w:r>
      <w:r>
        <w:t xml:space="preserve"> </w:t>
      </w:r>
      <w:r>
        <w:t xml:space="preserve">in Section 3.</w:t>
      </w:r>
    </w:p>
    <w:p>
      <w:pPr>
        <w:numPr>
          <w:ilvl w:val="0"/>
          <w:numId w:val="1003"/>
        </w:numPr>
      </w:pPr>
      <w:r>
        <w:rPr>
          <w:b/>
          <w:bCs/>
        </w:rPr>
        <w:t xml:space="preserve">Bench electrical characterization (Sections 4.1, 4.2).</w:t>
      </w:r>
      <w:r>
        <w:t xml:space="preserve"> </w:t>
      </w:r>
      <w:r>
        <w:t xml:space="preserve">Commanded versus measured current into 1 kΩ (resolves the 6.25 µA/% ideal transconductance versus the application’s 6 µA/% label); programmed versus measured stimulating- and recovery-phase widths (confirms the</w:t>
      </w:r>
      <w:r>
        <w:t xml:space="preserve"> </w:t>
      </w:r>
      <m:oMath>
        <m:r>
          <m:rPr>
            <m:sty m:val="p"/>
          </m:rPr>
          <m:t>∼</m:t>
        </m:r>
      </m:oMath>
      <w:r>
        <w:t xml:space="preserve">117 µs floor and the 1:5 recovery ratio); delivered current versus load at 100 and 400 µA to measure the compliance limit (confirms the</w:t>
      </w:r>
      <w:r>
        <w:t xml:space="preserve"> </w:t>
      </w:r>
      <m:oMath>
        <m:r>
          <m:rPr>
            <m:sty m:val="p"/>
          </m:rPr>
          <m:t>∼</m:t>
        </m:r>
      </m:oMath>
      <w:r>
        <w:t xml:space="preserve">4.9 V swing used in Section 3.3 and Figure 4B) and the Howland load dependence bounded analytically in Section 7; a representative pulse at the reference protocol; op-amp on-time per pulse (210 µs + 6·</w:t>
      </w:r>
      <w:r>
        <w:rPr>
          <w:i/>
          <w:iCs/>
        </w:rPr>
        <w:t xml:space="preserve">P</w:t>
      </w:r>
      <w:r>
        <w:t xml:space="preserve">, currently from firmware constants). Planned Figure 5 legend:</w:t>
      </w:r>
      <w:r>
        <w:t xml:space="preserve"> </w:t>
      </w:r>
      <w:r>
        <w:rPr>
          <w:i/>
          <w:iCs/>
        </w:rPr>
        <w:t xml:space="preserve">(A)</w:t>
      </w:r>
      <w:r>
        <w:t xml:space="preserve"> </w:t>
      </w:r>
      <w:r>
        <w:t xml:space="preserve">commanded versus measured current into 1 kΩ;</w:t>
      </w:r>
      <w:r>
        <w:t xml:space="preserve"> </w:t>
      </w:r>
      <w:r>
        <w:rPr>
          <w:i/>
          <w:iCs/>
        </w:rPr>
        <w:t xml:space="preserve">(B)</w:t>
      </w:r>
      <w:r>
        <w:t xml:space="preserve"> </w:t>
      </w:r>
      <w:r>
        <w:t xml:space="preserve">programmed versus measured stimulating- and recovery-phase widths;</w:t>
      </w:r>
      <w:r>
        <w:t xml:space="preserve"> </w:t>
      </w:r>
      <w:r>
        <w:rPr>
          <w:i/>
          <w:iCs/>
        </w:rPr>
        <w:t xml:space="preserve">(C)</w:t>
      </w:r>
      <w:r>
        <w:t xml:space="preserve"> </w:t>
      </w:r>
      <w:r>
        <w:t xml:space="preserve">representative pulse at the reference protocol showing the asymmetric recovery phase;</w:t>
      </w:r>
      <w:r>
        <w:t xml:space="preserve"> </w:t>
      </w:r>
      <w:r>
        <w:rPr>
          <w:i/>
          <w:iCs/>
        </w:rPr>
        <w:t xml:space="preserve">(D)</w:t>
      </w:r>
      <w:r>
        <w:t xml:space="preserve"> </w:t>
      </w:r>
      <w:r>
        <w:t xml:space="preserve">delivered current versus load at 100 and 400 µA with the compliance limit marked.</w:t>
      </w:r>
    </w:p>
    <w:p>
      <w:pPr>
        <w:numPr>
          <w:ilvl w:val="0"/>
          <w:numId w:val="1003"/>
        </w:numPr>
      </w:pPr>
      <w:r>
        <w:rPr>
          <w:b/>
          <w:bCs/>
        </w:rPr>
        <w:t xml:space="preserve">Battery measurements (Section 4.3, Table 3).</w:t>
      </w:r>
      <w:r>
        <w:t xml:space="preserve"> </w:t>
      </w:r>
      <w:r>
        <w:t xml:space="preserve">Record the conditions of the current measurements (pulse width, load, LED state, instrument) from the bench notes, and replace the runtime projections with a measured discharge to cutoff.</w:t>
      </w:r>
    </w:p>
    <w:p>
      <w:pPr>
        <w:numPr>
          <w:ilvl w:val="0"/>
          <w:numId w:val="1003"/>
        </w:numPr>
      </w:pPr>
      <w:r>
        <w:rPr>
          <w:b/>
          <w:bCs/>
        </w:rPr>
        <w:t xml:space="preserve">In-vivo validation (Sections 6.1–6.3).</w:t>
      </w:r>
      <w:r>
        <w:t xml:space="preserve"> </w:t>
      </w:r>
      <w:r>
        <w:t xml:space="preserve">Setup, wireless-versus-tethered comparison and behavioral outcome. Planned Figure 6 legend:</w:t>
      </w:r>
      <w:r>
        <w:t xml:space="preserve"> </w:t>
      </w:r>
      <w:r>
        <w:rPr>
          <w:i/>
          <w:iCs/>
        </w:rPr>
        <w:t xml:space="preserve">(A)</w:t>
      </w:r>
      <w:r>
        <w:t xml:space="preserve"> </w:t>
      </w:r>
      <w:r>
        <w:t xml:space="preserve">head-mounted device on the animal and arena;</w:t>
      </w:r>
      <w:r>
        <w:t xml:space="preserve"> </w:t>
      </w:r>
      <w:r>
        <w:rPr>
          <w:i/>
          <w:iCs/>
        </w:rPr>
        <w:t xml:space="preserve">(B)</w:t>
      </w:r>
      <w:r>
        <w:t xml:space="preserve"> </w:t>
      </w:r>
      <w:r>
        <w:t xml:space="preserve">example tracking;</w:t>
      </w:r>
      <w:r>
        <w:t xml:space="preserve"> </w:t>
      </w:r>
      <w:r>
        <w:rPr>
          <w:i/>
          <w:iCs/>
        </w:rPr>
        <w:t xml:space="preserve">(C)</w:t>
      </w:r>
      <w:r>
        <w:t xml:space="preserve"> </w:t>
      </w:r>
      <w:r>
        <w:t xml:space="preserve">behavioral metric for baseline, tethered DBS and FLEX-DBS wireless DBS, per animal and group.</w:t>
      </w:r>
    </w:p>
    <w:p>
      <w:pPr>
        <w:numPr>
          <w:ilvl w:val="0"/>
          <w:numId w:val="1003"/>
        </w:numPr>
      </w:pPr>
      <w:r>
        <w:rPr>
          <w:b/>
          <w:bCs/>
        </w:rPr>
        <w:t xml:space="preserve">Abstract and Conclusions.</w:t>
      </w:r>
      <w:r>
        <w:t xml:space="preserve"> </w:t>
      </w:r>
      <w:r>
        <w:t xml:space="preserve">Update the Results and Conclusions once bench and in-vivo data exist; both currently describe design, impedance and battery results only.</w:t>
      </w:r>
    </w:p>
    <w:p>
      <w:pPr>
        <w:numPr>
          <w:ilvl w:val="0"/>
          <w:numId w:val="1003"/>
        </w:numPr>
      </w:pPr>
      <w:r>
        <w:rPr>
          <w:b/>
          <w:bCs/>
        </w:rPr>
        <w:t xml:space="preserve">Timing diagram.</w:t>
      </w:r>
      <w:r>
        <w:t xml:space="preserve"> </w:t>
      </w:r>
      <w:r>
        <w:t xml:space="preserve">The per-pulse sequence in Section 2.2 (amplifier enable and 150 µs settle; switches close and 30 µs settle; DAC step to</w:t>
      </w:r>
      <w:r>
        <w:t xml:space="preserve"> </w:t>
      </w:r>
      <w:r>
        <w:rPr>
          <w:i/>
          <w:iCs/>
        </w:rPr>
        <w:t xml:space="preserve">I</w:t>
      </w:r>
      <w:r>
        <w:t xml:space="preserve"> </w:t>
      </w:r>
      <w:r>
        <w:t xml:space="preserve">for</w:t>
      </w:r>
      <w:r>
        <w:t xml:space="preserve"> </w:t>
      </w:r>
      <w:r>
        <w:rPr>
          <w:i/>
          <w:iCs/>
        </w:rPr>
        <w:t xml:space="preserve">P</w:t>
      </w:r>
      <w:r>
        <w:t xml:space="preserve">; step to −</w:t>
      </w:r>
      <w:r>
        <w:rPr>
          <w:i/>
          <w:iCs/>
        </w:rPr>
        <w:t xml:space="preserve">I</w:t>
      </w:r>
      <w:r>
        <w:t xml:space="preserve">/5 for 5·</w:t>
      </w:r>
      <w:r>
        <w:rPr>
          <w:i/>
          <w:iCs/>
        </w:rPr>
        <w:t xml:space="preserve">P</w:t>
      </w:r>
      <w:r>
        <w:t xml:space="preserve">; return to reference; switches open; amplifier shutdown) could become a Figure 1 inset or a panel of Figure 5, preferably from a scope capture.</w:t>
      </w:r>
    </w:p>
    <w:bookmarkEnd w:id="66"/>
    <w:bookmarkStart w:id="67" w:name="notes-impedance"/>
    <w:p>
      <w:pPr>
        <w:pStyle w:val="Heading3"/>
      </w:pPr>
      <w:r>
        <w:t xml:space="preserve">Impedance measurement</w:t>
      </w:r>
    </w:p>
    <w:p>
      <w:pPr>
        <w:numPr>
          <w:ilvl w:val="0"/>
          <w:numId w:val="1004"/>
        </w:numPr>
      </w:pPr>
      <w:r>
        <w:t xml:space="preserve">Only the platinum cohort 1 sheet, output 1, is reported. Output 0 of mouse 1 read near 0 V throughout and was excluded; output 0 of mouse 2 (47–53 kΩ) is not reported, to keep one electrode per animal. Confirm this choice.</w:t>
      </w:r>
    </w:p>
    <w:p>
      <w:pPr>
        <w:numPr>
          <w:ilvl w:val="0"/>
          <w:numId w:val="1004"/>
        </w:numPr>
      </w:pPr>
      <w:r>
        <w:t xml:space="preserve">The StimJim bench check (2/10/20/68 kΩ) showed its voltage read-back 6–73 % below the oscilloscope, so the in-vivo values may be underestimates. Consider remeasuring with an impedance meter (for example, a NanoZ at 1 kHz) or with an oscilloscope on the StimJim output, and report both.</w:t>
      </w:r>
    </w:p>
    <w:p>
      <w:pPr>
        <w:numPr>
          <w:ilvl w:val="0"/>
          <w:numId w:val="1004"/>
        </w:numPr>
      </w:pPr>
      <w:r>
        <w:t xml:space="preserve">The 450 µs measurement pulse is longer than the DBS pulses; a measurement at the stimulation pulse width would better match the compliance calculation.</w:t>
      </w:r>
    </w:p>
    <w:p>
      <w:pPr>
        <w:numPr>
          <w:ilvl w:val="0"/>
          <w:numId w:val="1004"/>
        </w:numPr>
      </w:pPr>
      <w:r>
        <w:t xml:space="preserve">The two-electrode configuration is justified with</w:t>
      </w:r>
      <w:r>
        <w:t xml:space="preserve"> </w:t>
      </w:r>
      <w:r>
        <w:t xml:space="preserve">Koo and Weiland (2018)</w:t>
      </w:r>
      <w:r>
        <w:t xml:space="preserve">; confirm that this is the framing the authors want.</w:t>
      </w:r>
    </w:p>
    <w:p>
      <w:pPr>
        <w:numPr>
          <w:ilvl w:val="0"/>
          <w:numId w:val="1004"/>
        </w:numPr>
      </w:pPr>
      <w:r>
        <w:t xml:space="preserve">The other workbook sheets (gold-plated platinum, in vivo two months post, in vivo, bench testing) are not used.</w:t>
      </w:r>
    </w:p>
    <w:bookmarkEnd w:id="67"/>
    <w:bookmarkStart w:id="68" w:name="notes-citations"/>
    <w:p>
      <w:pPr>
        <w:pStyle w:val="Heading3"/>
      </w:pPr>
      <w:r>
        <w:t xml:space="preserve">Citations to add or verify</w:t>
      </w:r>
    </w:p>
    <w:p>
      <w:pPr>
        <w:numPr>
          <w:ilvl w:val="0"/>
          <w:numId w:val="1005"/>
        </w:numPr>
      </w:pPr>
      <w:r>
        <w:t xml:space="preserve">Introduction: the claims that tethers constrain behavior or add stress, and that some therapeutic effects of DBS develop over days to weeks, have no citation and were softened. Add references or keep the softened wording.</w:t>
      </w:r>
    </w:p>
    <w:p>
      <w:pPr>
        <w:numPr>
          <w:ilvl w:val="0"/>
          <w:numId w:val="1005"/>
        </w:numPr>
      </w:pPr>
      <w:r>
        <w:t xml:space="preserve">Introduction:</w:t>
      </w:r>
      <w:r>
        <w:t xml:space="preserve"> </w:t>
      </w:r>
      <w:r>
        <w:t xml:space="preserve">Creed (2018)</w:t>
      </w:r>
      <w:r>
        <w:t xml:space="preserve"> </w:t>
      </w:r>
      <w:r>
        <w:t xml:space="preserve">reviews neuromodulation for addiction; confirm that it supports the sentence on subthalamic stimulation parameters, or substitute a subthalamic reference.</w:t>
      </w:r>
    </w:p>
    <w:p>
      <w:pPr>
        <w:numPr>
          <w:ilvl w:val="0"/>
          <w:numId w:val="1005"/>
        </w:numPr>
      </w:pPr>
      <w:r>
        <w:t xml:space="preserve">Section 2.3: confirm that</w:t>
      </w:r>
      <w:r>
        <w:t xml:space="preserve"> </w:t>
      </w:r>
      <w:r>
        <w:t xml:space="preserve">Aleksandrova et al. (2013)</w:t>
      </w:r>
      <w:r>
        <w:t xml:space="preserve"> </w:t>
      </w:r>
      <w:r>
        <w:t xml:space="preserve">and</w:t>
      </w:r>
      <w:r>
        <w:t xml:space="preserve"> </w:t>
      </w:r>
      <w:r>
        <w:t xml:space="preserve">Creed et al. (2013)</w:t>
      </w:r>
      <w:r>
        <w:t xml:space="preserve"> </w:t>
      </w:r>
      <w:r>
        <w:t xml:space="preserve">used amplitudes in the several-hundred-microampere range, and that</w:t>
      </w:r>
      <w:r>
        <w:t xml:space="preserve"> </w:t>
      </w:r>
      <w:r>
        <w:t xml:space="preserve">Creed et al. (2012)</w:t>
      </w:r>
      <w:r>
        <w:t xml:space="preserve"> </w:t>
      </w:r>
      <w:r>
        <w:t xml:space="preserve">is the right citation for the 100 µA, 90 µs, 130 Hz reference protocol.</w:t>
      </w:r>
    </w:p>
    <w:p>
      <w:pPr>
        <w:numPr>
          <w:ilvl w:val="0"/>
          <w:numId w:val="1005"/>
        </w:numPr>
      </w:pPr>
      <w:r>
        <w:t xml:space="preserve">The Howland balance and load-dependence analysis cites the TI application note</w:t>
      </w:r>
      <w:r>
        <w:t xml:space="preserve"> </w:t>
      </w:r>
      <w:r>
        <w:t xml:space="preserve">(Texas Instruments, 2008)</w:t>
      </w:r>
      <w:r>
        <w:t xml:space="preserve">; a peer-reviewed source could be added.</w:t>
      </w:r>
    </w:p>
    <w:p>
      <w:pPr>
        <w:numPr>
          <w:ilvl w:val="0"/>
          <w:numId w:val="1005"/>
        </w:numPr>
      </w:pPr>
      <w:r>
        <w:t xml:space="preserve">Paulat et al. (2026)</w:t>
      </w:r>
      <w:r>
        <w:t xml:space="preserve"> </w:t>
      </w:r>
      <w:r>
        <w:t xml:space="preserve">is a Research Square preprint; update if it is published.</w:t>
      </w:r>
    </w:p>
    <w:bookmarkEnd w:id="68"/>
    <w:bookmarkStart w:id="69" w:name="notes-table4"/>
    <w:p>
      <w:pPr>
        <w:pStyle w:val="Heading3"/>
      </w:pPr>
      <w:r>
        <w:t xml:space="preserve">Table 4</w:t>
      </w:r>
    </w:p>
    <w:p>
      <w:pPr>
        <w:numPr>
          <w:ilvl w:val="0"/>
          <w:numId w:val="1006"/>
        </w:numPr>
      </w:pPr>
      <w:r>
        <w:t xml:space="preserve">Haas et al. (2012)</w:t>
      </w:r>
      <w:r>
        <w:t xml:space="preserve"> </w:t>
      </w:r>
      <w:r>
        <w:t xml:space="preserve">is paywalled and only its abstract was checked, so most of its row is blank. Secondary sources</w:t>
      </w:r>
      <w:r>
        <w:t xml:space="preserve"> </w:t>
      </w:r>
      <w:r>
        <w:t xml:space="preserve">(Kouzani et al., 2013)</w:t>
      </w:r>
      <w:r>
        <w:t xml:space="preserve"> </w:t>
      </w:r>
      <w:r>
        <w:t xml:space="preserve">describe it as a 2.1 g, 8 × 30 mm cylinder with a 4.65 V battery, magnet on/off, parameters set with a programming fixture and fixed resistors, and a 10 h runtime; the parameter cell in that source is garbled (probably 20–100 µA, 60 µs, 131 Hz). Verify against the original and fill in.</w:t>
      </w:r>
    </w:p>
    <w:p>
      <w:pPr>
        <w:numPr>
          <w:ilvl w:val="0"/>
          <w:numId w:val="1006"/>
        </w:numPr>
      </w:pPr>
      <w:r>
        <w:t xml:space="preserve">Supplementary files were not read for</w:t>
      </w:r>
      <w:r>
        <w:t xml:space="preserve"> </w:t>
      </w:r>
      <w:r>
        <w:t xml:space="preserve">Burton et al. (2021)</w:t>
      </w:r>
      <w:r>
        <w:t xml:space="preserve"> </w:t>
      </w:r>
      <w:r>
        <w:t xml:space="preserve">or</w:t>
      </w:r>
      <w:r>
        <w:t xml:space="preserve"> </w:t>
      </w:r>
      <w:r>
        <w:t xml:space="preserve">Shen et al. (2026)</w:t>
      </w:r>
      <w:r>
        <w:t xml:space="preserve">, and</w:t>
      </w:r>
      <w:r>
        <w:t xml:space="preserve"> </w:t>
      </w:r>
      <w:r>
        <w:t xml:space="preserve">Paulat et al. (2026)</w:t>
      </w:r>
      <w:r>
        <w:t xml:space="preserve">’s programmable ranges and battery models come from its supplement. The Pinnell firmware release was not checked in the Figshare repository.</w:t>
      </w:r>
    </w:p>
    <w:p>
      <w:pPr>
        <w:numPr>
          <w:ilvl w:val="0"/>
          <w:numId w:val="1006"/>
        </w:numPr>
      </w:pPr>
      <w:r>
        <w:t xml:space="preserve">Inconsistencies within sources:</w:t>
      </w:r>
      <w:r>
        <w:t xml:space="preserve"> </w:t>
      </w:r>
      <w:r>
        <w:t xml:space="preserve">Fleischer et al. (2020)</w:t>
      </w:r>
      <w:r>
        <w:t xml:space="preserve"> </w:t>
      </w:r>
      <w:r>
        <w:t xml:space="preserve">gives amplitude and frequency ranges that differ between text and table (both shown), and a 9 × 9 mm versus 10 × 10 mm board;</w:t>
      </w:r>
      <w:r>
        <w:t xml:space="preserve"> </w:t>
      </w:r>
      <w:r>
        <w:t xml:space="preserve">Pinnell et al. (2018)</w:t>
      </w:r>
      <w:r>
        <w:t xml:space="preserve"> </w:t>
      </w:r>
      <w:r>
        <w:t xml:space="preserve">gives 2.8 g in its table and 2.7 g in its introduction;</w:t>
      </w:r>
      <w:r>
        <w:t xml:space="preserve"> </w:t>
      </w:r>
      <w:r>
        <w:t xml:space="preserve">Shen et al. (2026)</w:t>
      </w:r>
      <w:r>
        <w:t xml:space="preserve"> </w:t>
      </w:r>
      <w:r>
        <w:t xml:space="preserve">gives</w:t>
      </w:r>
      <w:r>
        <w:t xml:space="preserve"> </w:t>
      </w:r>
      <m:oMath>
        <m:r>
          <m:rPr>
            <m:sty m:val="p"/>
          </m:rPr>
          <m:t>≥</m:t>
        </m:r>
      </m:oMath>
      <w:r>
        <w:t xml:space="preserve">300 h in its table but more than 30 days in its discussion, and demonstrates settings outside its stated ranges;</w:t>
      </w:r>
      <w:r>
        <w:t xml:space="preserve"> </w:t>
      </w:r>
      <w:r>
        <w:t xml:space="preserve">Burton et al. (2021)</w:t>
      </w:r>
      <w:r>
        <w:t xml:space="preserve"> </w:t>
      </w:r>
      <w:r>
        <w:t xml:space="preserve">gives a 50 kHz and a 25 kHz maximum frequency; the t-IPG thickness is 5.3 mm in the text of</w:t>
      </w:r>
      <w:r>
        <w:t xml:space="preserve"> </w:t>
      </w:r>
      <w:r>
        <w:t xml:space="preserve">Paulat et al. (2026)</w:t>
      </w:r>
      <w:r>
        <w:t xml:space="preserve"> </w:t>
      </w:r>
      <w:r>
        <w:t xml:space="preserve">and 2.6 mm in its supplementary table.</w:t>
      </w:r>
    </w:p>
    <w:p>
      <w:pPr>
        <w:numPr>
          <w:ilvl w:val="0"/>
          <w:numId w:val="1006"/>
        </w:numPr>
      </w:pPr>
      <w:r>
        <w:t xml:space="preserve">Kouzani et al. (2013)</w:t>
      </w:r>
      <w:r>
        <w:t xml:space="preserve"> </w:t>
      </w:r>
      <w:r>
        <w:t xml:space="preserve">was designed for mice but tested in rats;</w:t>
      </w:r>
      <w:r>
        <w:t xml:space="preserve"> </w:t>
      </w:r>
      <w:r>
        <w:t xml:space="preserve">Alpaugh et al. (2019)</w:t>
      </w:r>
      <w:r>
        <w:t xml:space="preserve">’s</w:t>
      </w:r>
      <w:r>
        <w:t xml:space="preserve"> </w:t>
      </w:r>
      <w:r>
        <w:t xml:space="preserve">“wireless”</w:t>
      </w:r>
      <w:r>
        <w:t xml:space="preserve"> </w:t>
      </w:r>
      <w:r>
        <w:t xml:space="preserve">means untethered, with no radio; its pulse width is read from its Figure 1d.</w:t>
      </w:r>
    </w:p>
    <w:p>
      <w:pPr>
        <w:numPr>
          <w:ilvl w:val="0"/>
          <w:numId w:val="1006"/>
        </w:numPr>
      </w:pPr>
      <w:r>
        <w:t xml:space="preserve">Consider adding dimensions as a column once the FLEX-DBS mass is known.</w:t>
      </w:r>
    </w:p>
    <w:bookmarkEnd w:id="69"/>
    <w:bookmarkStart w:id="70" w:name="notes-firmware"/>
    <w:p>
      <w:pPr>
        <w:pStyle w:val="Heading3"/>
      </w:pPr>
      <w:r>
        <w:t xml:space="preserve">Firmware and design</w:t>
      </w:r>
    </w:p>
    <w:p>
      <w:pPr>
        <w:numPr>
          <w:ilvl w:val="0"/>
          <w:numId w:val="1007"/>
        </w:numPr>
      </w:pPr>
      <w:r>
        <w:t xml:space="preserve">Firmware v0.5 delivers 130 Hz as 142.9 Hz and settings of 117 µs or less as</w:t>
      </w:r>
      <w:r>
        <w:t xml:space="preserve"> </w:t>
      </w:r>
      <m:oMath>
        <m:r>
          <m:rPr>
            <m:sty m:val="p"/>
          </m:rPr>
          <m:t>∼</m:t>
        </m:r>
      </m:oMath>
      <w:r>
        <w:t xml:space="preserve">117 µs (Table 2). If the fixes listed in Section 7 are made before posting, update Table 2, Figure 3’s legend and the Limitations.</w:t>
      </w:r>
    </w:p>
    <w:p>
      <w:pPr>
        <w:numPr>
          <w:ilvl w:val="0"/>
          <w:numId w:val="1007"/>
        </w:numPr>
      </w:pPr>
      <w:r>
        <w:t xml:space="preserve">The photograph in Figure 2A shows the</w:t>
      </w:r>
      <w:r>
        <w:t xml:space="preserve"> </w:t>
      </w:r>
      <w:r>
        <w:t xml:space="preserve">“v8.1”</w:t>
      </w:r>
      <w:r>
        <w:t xml:space="preserve"> </w:t>
      </w:r>
      <w:r>
        <w:t xml:space="preserve">board silkscreen; decide whether to mention the hardware revision in the text.</w:t>
      </w:r>
    </w:p>
    <w:p>
      <w:pPr>
        <w:numPr>
          <w:ilvl w:val="0"/>
          <w:numId w:val="1007"/>
        </w:numPr>
      </w:pPr>
      <w:r>
        <w:t xml:space="preserve">Supplementary S1: consider adding the BOM (</w:t>
      </w:r>
      <w:r>
        <w:rPr>
          <w:rStyle w:val="VerbatimChar"/>
        </w:rPr>
        <w:t xml:space="preserve">v8.1/BOM.csv</w:t>
      </w:r>
      <w:r>
        <w:t xml:space="preserve">) alongside the schematic.</w:t>
      </w:r>
    </w:p>
    <w:bookmarkEnd w:id="70"/>
    <w:bookmarkStart w:id="122" w:name="notes-end-matter"/>
    <w:p>
      <w:pPr>
        <w:pStyle w:val="Heading3"/>
      </w:pPr>
      <w:r>
        <w:t xml:space="preserve">End matter</w:t>
      </w:r>
    </w:p>
    <w:p>
      <w:pPr>
        <w:numPr>
          <w:ilvl w:val="0"/>
          <w:numId w:val="1008"/>
        </w:numPr>
      </w:pPr>
      <w:r>
        <w:t xml:space="preserve">Confirm author order, middle initials and affiliations.</w:t>
      </w:r>
    </w:p>
    <w:p>
      <w:pPr>
        <w:numPr>
          <w:ilvl w:val="0"/>
          <w:numId w:val="1008"/>
        </w:numPr>
      </w:pPr>
      <w:r>
        <w:t xml:space="preserve">Author contributions, competing interests, funding and acknowledgments are pending.</w:t>
      </w:r>
    </w:p>
    <w:p>
      <w:pPr>
        <w:numPr>
          <w:ilvl w:val="0"/>
          <w:numId w:val="1008"/>
        </w:numPr>
      </w:pPr>
      <w:r>
        <w:t xml:space="preserve">Data availability: decide whether to deposit the impedance data and figure scripts in a public repository instead of</w:t>
      </w:r>
      <w:r>
        <w:t xml:space="preserve"> </w:t>
      </w:r>
      <w:r>
        <w:t xml:space="preserve">“available on request”</w:t>
      </w:r>
      <w:r>
        <w:t xml:space="preserve">.</w:t>
      </w:r>
    </w:p>
    <w:p>
      <w:pPr>
        <w:numPr>
          <w:ilvl w:val="0"/>
          <w:numId w:val="1008"/>
        </w:numPr>
      </w:pPr>
      <w:r>
        <w:t xml:space="preserve">Before journal submission (not needed for bioRxiv): Highlights, graphical abstract, CRediT statement, generative-AI declaration, line numbers and double spacing per the Journal of Neuroscience Methods guide.</w:t>
      </w:r>
    </w:p>
    <w:bookmarkStart w:id="121" w:name="refs"/>
    <w:bookmarkStart w:id="72"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71">
        <w:r>
          <w:rPr>
            <w:rStyle w:val="Hyperlink"/>
          </w:rPr>
          <w:t xml:space="preserve">https://doi.org/10.1016/j.bbr.2013.02.011</w:t>
        </w:r>
      </w:hyperlink>
    </w:p>
    <w:bookmarkEnd w:id="72"/>
    <w:bookmarkStart w:id="74"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3">
        <w:r>
          <w:rPr>
            <w:rStyle w:val="Hyperlink"/>
          </w:rPr>
          <w:t xml:space="preserve">https://doi.org/10.1038/s41598-019-42910-7</w:t>
        </w:r>
      </w:hyperlink>
    </w:p>
    <w:bookmarkEnd w:id="74"/>
    <w:bookmarkStart w:id="76"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75">
        <w:r>
          <w:rPr>
            <w:rStyle w:val="Hyperlink"/>
          </w:rPr>
          <w:t xml:space="preserve">https://doi.org/10.1038/s41378-021-00294-7</w:t>
        </w:r>
      </w:hyperlink>
    </w:p>
    <w:bookmarkEnd w:id="76"/>
    <w:bookmarkStart w:id="78" w:name="ref-cermak2019"/>
    <w:p>
      <w:pPr>
        <w:pStyle w:val="Bibliography"/>
      </w:pPr>
      <w:r>
        <w:t xml:space="preserve">Cermak, N., Wilson, M.A., Schiller, J., Newman, J.P., 2019. Stimjim: Open source hardware for precise electrical stimulation.</w:t>
      </w:r>
      <w:r>
        <w:t xml:space="preserve"> </w:t>
      </w:r>
      <w:hyperlink r:id="rId77">
        <w:r>
          <w:rPr>
            <w:rStyle w:val="Hyperlink"/>
          </w:rPr>
          <w:t xml:space="preserve">https://doi.org/10.1101/757716</w:t>
        </w:r>
      </w:hyperlink>
    </w:p>
    <w:bookmarkEnd w:id="78"/>
    <w:bookmarkStart w:id="80" w:name="ref-creed2018"/>
    <w:p>
      <w:pPr>
        <w:pStyle w:val="Bibliography"/>
      </w:pPr>
      <w:r>
        <w:t xml:space="preserve">Creed, M., 2018. Current and emerging neuromodulation therapies for addiction: Insight from pre-clinical studies. Current Opinion in Neurobiology 49, 168–174.</w:t>
      </w:r>
      <w:r>
        <w:t xml:space="preserve"> </w:t>
      </w:r>
      <w:hyperlink r:id="rId79">
        <w:r>
          <w:rPr>
            <w:rStyle w:val="Hyperlink"/>
          </w:rPr>
          <w:t xml:space="preserve">https://doi.org/10.1016/j.conb.2018.02.015</w:t>
        </w:r>
      </w:hyperlink>
    </w:p>
    <w:bookmarkEnd w:id="80"/>
    <w:bookmarkStart w:id="82"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1">
        <w:r>
          <w:rPr>
            <w:rStyle w:val="Hyperlink"/>
          </w:rPr>
          <w:t xml:space="preserve">https://doi.org/10.1016/j.brs.2012.09.012</w:t>
        </w:r>
      </w:hyperlink>
    </w:p>
    <w:bookmarkEnd w:id="82"/>
    <w:bookmarkStart w:id="84"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83">
        <w:r>
          <w:rPr>
            <w:rStyle w:val="Hyperlink"/>
          </w:rPr>
          <w:t xml:space="preserve">https://doi.org/10.1016/j.euroneuro.2011.11.004</w:t>
        </w:r>
      </w:hyperlink>
    </w:p>
    <w:bookmarkEnd w:id="84"/>
    <w:bookmarkStart w:id="86"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85">
        <w:r>
          <w:rPr>
            <w:rStyle w:val="Hyperlink"/>
          </w:rPr>
          <w:t xml:space="preserve">https://doi.org/10.1016/j.euroneuro.2010.06.012</w:t>
        </w:r>
      </w:hyperlink>
    </w:p>
    <w:bookmarkEnd w:id="86"/>
    <w:bookmarkStart w:id="88" w:name="ref-creed2015"/>
    <w:p>
      <w:pPr>
        <w:pStyle w:val="Bibliography"/>
      </w:pPr>
      <w:r>
        <w:t xml:space="preserve">Creed, M., Pascoli, V.J., Lüscher, C., 2015. Refining deep brain stimulation to emulate optogenetic treatment of synaptic pathology. Science 347, 659–664.</w:t>
      </w:r>
      <w:r>
        <w:t xml:space="preserve"> </w:t>
      </w:r>
      <w:hyperlink r:id="rId87">
        <w:r>
          <w:rPr>
            <w:rStyle w:val="Hyperlink"/>
          </w:rPr>
          <w:t xml:space="preserve">https://doi.org/10.1126/science.1260776</w:t>
        </w:r>
      </w:hyperlink>
    </w:p>
    <w:bookmarkEnd w:id="88"/>
    <w:bookmarkStart w:id="90" w:name="ref-fasano2019"/>
    <w:p>
      <w:pPr>
        <w:pStyle w:val="Bibliography"/>
      </w:pPr>
      <w:r>
        <w:t xml:space="preserve">Fasano, A., Helmich, R.C., 2019. Tremor habituation to deep brain stimulation: Underlying mechanisms and solutions. Movement Disorders 34, 1761–1773.</w:t>
      </w:r>
      <w:r>
        <w:t xml:space="preserve"> </w:t>
      </w:r>
      <w:hyperlink r:id="rId89">
        <w:r>
          <w:rPr>
            <w:rStyle w:val="Hyperlink"/>
          </w:rPr>
          <w:t xml:space="preserve">https://doi.org/10.1002/mds.27821</w:t>
        </w:r>
      </w:hyperlink>
    </w:p>
    <w:bookmarkEnd w:id="90"/>
    <w:bookmarkStart w:id="92"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91">
        <w:r>
          <w:rPr>
            <w:rStyle w:val="Hyperlink"/>
          </w:rPr>
          <w:t xml:space="preserve">https://doi.org/10.3389/fnins.2020.00726</w:t>
        </w:r>
      </w:hyperlink>
    </w:p>
    <w:bookmarkEnd w:id="92"/>
    <w:bookmarkStart w:id="94"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93">
        <w:r>
          <w:rPr>
            <w:rStyle w:val="Hyperlink"/>
          </w:rPr>
          <w:t xml:space="preserve">https://doi.org/10.1038/s41531-024-00767-2</w:t>
        </w:r>
      </w:hyperlink>
    </w:p>
    <w:bookmarkEnd w:id="94"/>
    <w:bookmarkStart w:id="96"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95">
        <w:r>
          <w:rPr>
            <w:rStyle w:val="Hyperlink"/>
          </w:rPr>
          <w:t xml:space="preserve">https://doi.org/10.1016/j.jneumeth.2012.05.028</w:t>
        </w:r>
      </w:hyperlink>
    </w:p>
    <w:bookmarkEnd w:id="96"/>
    <w:bookmarkStart w:id="98" w:name="ref-knotkova2021"/>
    <w:p>
      <w:pPr>
        <w:pStyle w:val="Bibliography"/>
      </w:pPr>
      <w:r>
        <w:t xml:space="preserve">Knotkova, H., Hamani, C., Sivanesan, E., Le Beuffe, M.F.E., Moon, J.Y., Cohen, S.P., Huntoon, M.A., 2021. Neuromodulation for chronic pain. The Lancet 397, 2111–2124.</w:t>
      </w:r>
      <w:r>
        <w:t xml:space="preserve"> </w:t>
      </w:r>
      <w:hyperlink r:id="rId97">
        <w:r>
          <w:rPr>
            <w:rStyle w:val="Hyperlink"/>
          </w:rPr>
          <w:t xml:space="preserve">https://doi.org/10.1016/S0140-6736(21)00794-7</w:t>
        </w:r>
      </w:hyperlink>
    </w:p>
    <w:bookmarkEnd w:id="98"/>
    <w:bookmarkStart w:id="100"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99">
        <w:r>
          <w:rPr>
            <w:rStyle w:val="Hyperlink"/>
          </w:rPr>
          <w:t xml:space="preserve">https://doi.org/10.1109/EMBC.2018.8512973</w:t>
        </w:r>
      </w:hyperlink>
    </w:p>
    <w:bookmarkEnd w:id="100"/>
    <w:bookmarkStart w:id="102"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01">
        <w:r>
          <w:rPr>
            <w:rStyle w:val="Hyperlink"/>
          </w:rPr>
          <w:t xml:space="preserve">https://doi.org/10.1109/JTEHM.2013.2264093</w:t>
        </w:r>
      </w:hyperlink>
    </w:p>
    <w:bookmarkEnd w:id="102"/>
    <w:bookmarkStart w:id="104"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03">
        <w:r>
          <w:rPr>
            <w:rStyle w:val="Hyperlink"/>
          </w:rPr>
          <w:t xml:space="preserve">https://doi.org/10.1038/s41582-020-00426-z</w:t>
        </w:r>
      </w:hyperlink>
    </w:p>
    <w:bookmarkEnd w:id="104"/>
    <w:bookmarkStart w:id="106"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05">
        <w:r>
          <w:rPr>
            <w:rStyle w:val="Hyperlink"/>
          </w:rPr>
          <w:t xml:space="preserve">https://doi.org/10.1038/s41582-018-0128-2</w:t>
        </w:r>
      </w:hyperlink>
    </w:p>
    <w:bookmarkEnd w:id="106"/>
    <w:bookmarkStart w:id="108"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07">
        <w:r>
          <w:rPr>
            <w:rStyle w:val="Hyperlink"/>
          </w:rPr>
          <w:t xml:space="preserve">https://doi.org/10.1016/j.jneumeth.2004.10.020</w:t>
        </w:r>
      </w:hyperlink>
    </w:p>
    <w:bookmarkEnd w:id="108"/>
    <w:bookmarkStart w:id="110"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09">
        <w:r>
          <w:rPr>
            <w:rStyle w:val="Hyperlink"/>
          </w:rPr>
          <w:t xml:space="preserve">https://doi.org/10.1016/bs.irn.2021.06.002</w:t>
        </w:r>
      </w:hyperlink>
    </w:p>
    <w:bookmarkEnd w:id="110"/>
    <w:bookmarkStart w:id="112"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11">
        <w:r>
          <w:rPr>
            <w:rStyle w:val="Hyperlink"/>
          </w:rPr>
          <w:t xml:space="preserve">https://doi.org/10.21203/rs.3.rs-9019884/v1</w:t>
        </w:r>
      </w:hyperlink>
    </w:p>
    <w:bookmarkEnd w:id="112"/>
    <w:bookmarkStart w:id="114"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13">
        <w:r>
          <w:rPr>
            <w:rStyle w:val="Hyperlink"/>
          </w:rPr>
          <w:t xml:space="preserve">https://doi.org/10.3389/fnins.2018.00231</w:t>
        </w:r>
      </w:hyperlink>
    </w:p>
    <w:bookmarkEnd w:id="114"/>
    <w:bookmarkStart w:id="116"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15">
        <w:r>
          <w:rPr>
            <w:rStyle w:val="Hyperlink"/>
          </w:rPr>
          <w:t xml:space="preserve">https://doi.org/10.1088/1741-2552/ac23e1</w:t>
        </w:r>
      </w:hyperlink>
    </w:p>
    <w:bookmarkEnd w:id="116"/>
    <w:bookmarkStart w:id="118"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17">
        <w:r>
          <w:rPr>
            <w:rStyle w:val="Hyperlink"/>
          </w:rPr>
          <w:t xml:space="preserve">https://doi.org/10.3389/fnins.2025.1707636</w:t>
        </w:r>
      </w:hyperlink>
    </w:p>
    <w:bookmarkEnd w:id="118"/>
    <w:bookmarkStart w:id="120" w:name="ref-ti2008howland"/>
    <w:p>
      <w:pPr>
        <w:pStyle w:val="Bibliography"/>
      </w:pPr>
      <w:r>
        <w:t xml:space="preserve">Texas Instruments, 2008.</w:t>
      </w:r>
      <w:r>
        <w:t xml:space="preserve"> </w:t>
      </w:r>
      <w:hyperlink r:id="rId119">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20"/>
    <w:bookmarkEnd w:id="121"/>
    <w:bookmarkEnd w:id="122"/>
    <w:bookmarkEnd w:id="123"/>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23" Target="https://a360.co/3TqHAxf" TargetMode="External" /><Relationship Type="http://schemas.openxmlformats.org/officeDocument/2006/relationships/hyperlink" Id="rId89" Target="https://doi.org/10.1002/mds.27821" TargetMode="External" /><Relationship Type="http://schemas.openxmlformats.org/officeDocument/2006/relationships/hyperlink" Id="rId97" Target="https://doi.org/10.1016/S0140-6736(21)00794-7" TargetMode="External" /><Relationship Type="http://schemas.openxmlformats.org/officeDocument/2006/relationships/hyperlink" Id="rId109" Target="https://doi.org/10.1016/bs.irn.2021.06.002" TargetMode="External" /><Relationship Type="http://schemas.openxmlformats.org/officeDocument/2006/relationships/hyperlink" Id="rId71" Target="https://doi.org/10.1016/j.bbr.2013.02.011" TargetMode="External" /><Relationship Type="http://schemas.openxmlformats.org/officeDocument/2006/relationships/hyperlink" Id="rId81" Target="https://doi.org/10.1016/j.brs.2012.09.012" TargetMode="External" /><Relationship Type="http://schemas.openxmlformats.org/officeDocument/2006/relationships/hyperlink" Id="rId79" Target="https://doi.org/10.1016/j.conb.2018.02.015" TargetMode="External" /><Relationship Type="http://schemas.openxmlformats.org/officeDocument/2006/relationships/hyperlink" Id="rId85" Target="https://doi.org/10.1016/j.euroneuro.2010.06.012" TargetMode="External" /><Relationship Type="http://schemas.openxmlformats.org/officeDocument/2006/relationships/hyperlink" Id="rId83" Target="https://doi.org/10.1016/j.euroneuro.2011.11.004" TargetMode="External" /><Relationship Type="http://schemas.openxmlformats.org/officeDocument/2006/relationships/hyperlink" Id="rId107" Target="https://doi.org/10.1016/j.jneumeth.2004.10.020" TargetMode="External" /><Relationship Type="http://schemas.openxmlformats.org/officeDocument/2006/relationships/hyperlink" Id="rId95" Target="https://doi.org/10.1016/j.jneumeth.2012.05.028" TargetMode="External" /><Relationship Type="http://schemas.openxmlformats.org/officeDocument/2006/relationships/hyperlink" Id="rId75" Target="https://doi.org/10.1038/s41378-021-00294-7" TargetMode="External" /><Relationship Type="http://schemas.openxmlformats.org/officeDocument/2006/relationships/hyperlink" Id="rId93" Target="https://doi.org/10.1038/s41531-024-00767-2" TargetMode="External" /><Relationship Type="http://schemas.openxmlformats.org/officeDocument/2006/relationships/hyperlink" Id="rId105" Target="https://doi.org/10.1038/s41582-018-0128-2" TargetMode="External" /><Relationship Type="http://schemas.openxmlformats.org/officeDocument/2006/relationships/hyperlink" Id="rId103" Target="https://doi.org/10.1038/s41582-020-00426-z" TargetMode="External" /><Relationship Type="http://schemas.openxmlformats.org/officeDocument/2006/relationships/hyperlink" Id="rId73" Target="https://doi.org/10.1038/s41598-019-42910-7" TargetMode="External" /><Relationship Type="http://schemas.openxmlformats.org/officeDocument/2006/relationships/hyperlink" Id="rId115" Target="https://doi.org/10.1088/1741-2552/ac23e1" TargetMode="External" /><Relationship Type="http://schemas.openxmlformats.org/officeDocument/2006/relationships/hyperlink" Id="rId77" Target="https://doi.org/10.1101/757716" TargetMode="External" /><Relationship Type="http://schemas.openxmlformats.org/officeDocument/2006/relationships/hyperlink" Id="rId99" Target="https://doi.org/10.1109/EMBC.2018.8512973" TargetMode="External" /><Relationship Type="http://schemas.openxmlformats.org/officeDocument/2006/relationships/hyperlink" Id="rId101" Target="https://doi.org/10.1109/JTEHM.2013.2264093" TargetMode="External" /><Relationship Type="http://schemas.openxmlformats.org/officeDocument/2006/relationships/hyperlink" Id="rId87" Target="https://doi.org/10.1126/science.1260776" TargetMode="External" /><Relationship Type="http://schemas.openxmlformats.org/officeDocument/2006/relationships/hyperlink" Id="rId111" Target="https://doi.org/10.21203/rs.3.rs-9019884/v1" TargetMode="External" /><Relationship Type="http://schemas.openxmlformats.org/officeDocument/2006/relationships/hyperlink" Id="rId113" Target="https://doi.org/10.3389/fnins.2018.00231" TargetMode="External" /><Relationship Type="http://schemas.openxmlformats.org/officeDocument/2006/relationships/hyperlink" Id="rId91" Target="https://doi.org/10.3389/fnins.2020.00726" TargetMode="External" /><Relationship Type="http://schemas.openxmlformats.org/officeDocument/2006/relationships/hyperlink" Id="rId117" Target="https://doi.org/10.3389/fnins.2025.1707636" TargetMode="External" /><Relationship Type="http://schemas.openxmlformats.org/officeDocument/2006/relationships/hyperlink" Id="rId58" Target="https://github.com/Neurotech-Hub/Creed-DBS-SiLabs" TargetMode="External" /><Relationship Type="http://schemas.openxmlformats.org/officeDocument/2006/relationships/hyperlink" Id="rId59" Target="https://github.com/Neurotech-Hub/MouseCap-iOS" TargetMode="External" /><Relationship Type="http://schemas.openxmlformats.org/officeDocument/2006/relationships/hyperlink" Id="rId119"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89" Target="https://doi.org/10.1002/mds.27821" TargetMode="External" /><Relationship Type="http://schemas.openxmlformats.org/officeDocument/2006/relationships/hyperlink" Id="rId97" Target="https://doi.org/10.1016/S0140-6736(21)00794-7" TargetMode="External" /><Relationship Type="http://schemas.openxmlformats.org/officeDocument/2006/relationships/hyperlink" Id="rId109" Target="https://doi.org/10.1016/bs.irn.2021.06.002" TargetMode="External" /><Relationship Type="http://schemas.openxmlformats.org/officeDocument/2006/relationships/hyperlink" Id="rId71" Target="https://doi.org/10.1016/j.bbr.2013.02.011" TargetMode="External" /><Relationship Type="http://schemas.openxmlformats.org/officeDocument/2006/relationships/hyperlink" Id="rId81" Target="https://doi.org/10.1016/j.brs.2012.09.012" TargetMode="External" /><Relationship Type="http://schemas.openxmlformats.org/officeDocument/2006/relationships/hyperlink" Id="rId79" Target="https://doi.org/10.1016/j.conb.2018.02.015" TargetMode="External" /><Relationship Type="http://schemas.openxmlformats.org/officeDocument/2006/relationships/hyperlink" Id="rId85" Target="https://doi.org/10.1016/j.euroneuro.2010.06.012" TargetMode="External" /><Relationship Type="http://schemas.openxmlformats.org/officeDocument/2006/relationships/hyperlink" Id="rId83" Target="https://doi.org/10.1016/j.euroneuro.2011.11.004" TargetMode="External" /><Relationship Type="http://schemas.openxmlformats.org/officeDocument/2006/relationships/hyperlink" Id="rId107" Target="https://doi.org/10.1016/j.jneumeth.2004.10.020" TargetMode="External" /><Relationship Type="http://schemas.openxmlformats.org/officeDocument/2006/relationships/hyperlink" Id="rId95" Target="https://doi.org/10.1016/j.jneumeth.2012.05.028" TargetMode="External" /><Relationship Type="http://schemas.openxmlformats.org/officeDocument/2006/relationships/hyperlink" Id="rId75" Target="https://doi.org/10.1038/s41378-021-00294-7" TargetMode="External" /><Relationship Type="http://schemas.openxmlformats.org/officeDocument/2006/relationships/hyperlink" Id="rId93" Target="https://doi.org/10.1038/s41531-024-00767-2" TargetMode="External" /><Relationship Type="http://schemas.openxmlformats.org/officeDocument/2006/relationships/hyperlink" Id="rId105" Target="https://doi.org/10.1038/s41582-018-0128-2" TargetMode="External" /><Relationship Type="http://schemas.openxmlformats.org/officeDocument/2006/relationships/hyperlink" Id="rId103" Target="https://doi.org/10.1038/s41582-020-00426-z" TargetMode="External" /><Relationship Type="http://schemas.openxmlformats.org/officeDocument/2006/relationships/hyperlink" Id="rId73" Target="https://doi.org/10.1038/s41598-019-42910-7" TargetMode="External" /><Relationship Type="http://schemas.openxmlformats.org/officeDocument/2006/relationships/hyperlink" Id="rId115" Target="https://doi.org/10.1088/1741-2552/ac23e1" TargetMode="External" /><Relationship Type="http://schemas.openxmlformats.org/officeDocument/2006/relationships/hyperlink" Id="rId77" Target="https://doi.org/10.1101/757716" TargetMode="External" /><Relationship Type="http://schemas.openxmlformats.org/officeDocument/2006/relationships/hyperlink" Id="rId99" Target="https://doi.org/10.1109/EMBC.2018.8512973" TargetMode="External" /><Relationship Type="http://schemas.openxmlformats.org/officeDocument/2006/relationships/hyperlink" Id="rId101" Target="https://doi.org/10.1109/JTEHM.2013.2264093" TargetMode="External" /><Relationship Type="http://schemas.openxmlformats.org/officeDocument/2006/relationships/hyperlink" Id="rId87" Target="https://doi.org/10.1126/science.1260776" TargetMode="External" /><Relationship Type="http://schemas.openxmlformats.org/officeDocument/2006/relationships/hyperlink" Id="rId111" Target="https://doi.org/10.21203/rs.3.rs-9019884/v1" TargetMode="External" /><Relationship Type="http://schemas.openxmlformats.org/officeDocument/2006/relationships/hyperlink" Id="rId113" Target="https://doi.org/10.3389/fnins.2018.00231" TargetMode="External" /><Relationship Type="http://schemas.openxmlformats.org/officeDocument/2006/relationships/hyperlink" Id="rId91" Target="https://doi.org/10.3389/fnins.2020.00726" TargetMode="External" /><Relationship Type="http://schemas.openxmlformats.org/officeDocument/2006/relationships/hyperlink" Id="rId117" Target="https://doi.org/10.3389/fnins.2025.1707636" TargetMode="External" /><Relationship Type="http://schemas.openxmlformats.org/officeDocument/2006/relationships/hyperlink" Id="rId58" Target="https://github.com/Neurotech-Hub/Creed-DBS-SiLabs" TargetMode="External" /><Relationship Type="http://schemas.openxmlformats.org/officeDocument/2006/relationships/hyperlink" Id="rId59" Target="https://github.com/Neurotech-Hub/MouseCap-iOS" TargetMode="External" /><Relationship Type="http://schemas.openxmlformats.org/officeDocument/2006/relationships/hyperlink" Id="rId119"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2026-09-30T11:00:03Z</dcterms:created>
  <dcterms:modified xsi:type="dcterms:W3CDTF">2026-09-30T11:00:03Z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