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55"/>
          <w:sz w:val="68"/>
        </w:rPr>
        <w:t>COMPTA-IA</w:t>
      </w:r>
    </w:p>
    <w:p>
      <w:pPr>
        <w:jc w:val="center"/>
      </w:pPr>
      <w:r>
        <w:rPr>
          <w:i/>
          <w:color w:val="B8862E"/>
          <w:sz w:val="32"/>
        </w:rPr>
        <w:t>Dossier de conformité — Règlement européen sur l'intelligence artificielle</w:t>
        <w:br/>
        <w:t>(EU AI Act, Règlement (UE) 2024/1689)</w:t>
      </w:r>
    </w:p>
    <w:p>
      <w:pPr>
        <w:jc w:val="center"/>
      </w:pPr>
      <w:r>
        <w:rPr>
          <w:color w:val="5B6B8C"/>
          <w:sz w:val="24"/>
        </w:rPr>
        <w:t>Auto-évaluation technique interne</w:t>
      </w:r>
    </w:p>
    <w:p>
      <w:pPr>
        <w:jc w:val="center"/>
      </w:pPr>
      <w:r>
        <w:rPr>
          <w:color w:val="5B6B8C"/>
          <w:sz w:val="22"/>
        </w:rPr>
        <w:t>Version 1.0 — Octobre 2026</w:t>
      </w:r>
    </w:p>
    <w:p>
      <w:r>
        <w:br w:type="page"/>
      </w:r>
    </w:p>
    <w:p>
      <w:pPr>
        <w:pStyle w:val="Heading1"/>
      </w:pPr>
      <w:r>
        <w:rPr>
          <w:color w:val="1B2A55"/>
        </w:rPr>
        <w:t>1. Objet du document</w:t>
      </w:r>
    </w:p>
    <w:p>
      <w:r>
        <w:rPr>
          <w:b w:val="0"/>
          <w:i w:val="0"/>
          <w:sz w:val="22"/>
        </w:rPr>
        <w:t>Ce document constitue une auto-évaluation technique de Compta-IA au regard du Règlement européen sur l'intelligence artificielle (Règlement (UE) 2024/1689, « EU AI Act »). Il décrit le système d'IA mis en œuvre, détermine sa catégorie de risque au sens du règlement, et recense les mesures techniques déjà en place qui répondent — totalement ou partiellement — aux exigences applicables.</w:t>
      </w:r>
    </w:p>
    <w:p>
      <w:r>
        <w:rPr>
          <w:b w:val="0"/>
          <w:i/>
          <w:sz w:val="22"/>
        </w:rPr>
        <w:t>Portée et limites : ce document est une démarche pédagogique et technique réalisée dans le cadre d'un mémoire de fin d'études. Il ne constitue ni un avis juridique, ni une certification officielle de conformité. Compta-IA n'étant pas actuellement mis sur le marché de l'Union européenne, le règlement ne lui est pas juridiquement applicable à ce stade — cette auto-évaluation est menée à titre de bonne pratique et de démonstration de rigueur méthodologique.</w:t>
      </w:r>
    </w:p>
    <w:p>
      <w:pPr>
        <w:pStyle w:val="Heading1"/>
      </w:pPr>
      <w:r>
        <w:rPr>
          <w:color w:val="1B2A55"/>
        </w:rPr>
        <w:t>2. Description du système d'IA</w:t>
      </w:r>
    </w:p>
    <w:p>
      <w:pPr>
        <w:pStyle w:val="Heading2"/>
      </w:pPr>
      <w:r>
        <w:rPr>
          <w:color w:val="1B2A55"/>
        </w:rPr>
        <w:t>2.1 Vue d'ensemble</w:t>
      </w:r>
    </w:p>
    <w:p>
      <w:r>
        <w:rPr>
          <w:b w:val="0"/>
          <w:i w:val="0"/>
          <w:sz w:val="22"/>
        </w:rPr>
        <w:t>Compta-IA assiste un comptable dans le traitement des factures fournisseurs : le système lit automatiquement une facture (image ou PDF), en extrait les informations comptables pertinentes, puis propose une écriture comptable conforme au Plan Comptable Général malgache (PCG 2005). À aucune étape le système ne valide ou ne comptabilise une écriture de façon autonome : la proposition reste soumise à la validation explicite d'un comptable humain avant toute intégration définitive.</w:t>
      </w:r>
    </w:p>
    <w:p>
      <w:pPr>
        <w:pStyle w:val="Heading2"/>
      </w:pPr>
      <w:r>
        <w:rPr>
          <w:color w:val="1B2A55"/>
        </w:rPr>
        <w:t>2.2 Composants d'intelligence artificielle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B2A55"/>
          </w:tcPr>
          <w:p>
            <w:r/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3685"/>
            <w:shd w:val="clear" w:color="auto" w:fill="1B2A55"/>
          </w:tcPr>
          <w:p>
            <w:r/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3685"/>
            <w:shd w:val="clear" w:color="auto" w:fill="1B2A55"/>
          </w:tcPr>
          <w:p>
            <w:r/>
            <w:r>
              <w:rPr>
                <w:b/>
                <w:color w:val="FFFFFF"/>
                <w:sz w:val="20"/>
              </w:rPr>
              <w:t>Technologie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OCR (reconnaissance optique)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Extraire le texte brut de l'image/PDF de la facture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EasyOCR (primaire), Tesseract (repli automatique)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Extraction d'entités (NLP)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Repérer fournisseur, montants, dates, TVA dans le texte extrait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spaCy (fr_core_news_md) + règles regex (approche hybride)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Classification du type d'opération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Prédire la nature de l'opération comptable (achat, avoir, etc.)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scikit-learn (TF-IDF + régression logistique calibrée) et XGBoost, comparés automatiquement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Moteur de règles comptables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Générer les lignes débit/crédit conformes au PCG à partir du type d'opération classifié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Règles déterministes (non-IA), appliquées après la classification</w:t>
            </w:r>
          </w:p>
        </w:tc>
      </w:tr>
    </w:tbl>
    <w:p/>
    <w:p>
      <w:pPr>
        <w:pStyle w:val="Heading2"/>
      </w:pPr>
      <w:r>
        <w:rPr>
          <w:color w:val="1B2A55"/>
        </w:rPr>
        <w:t>2.3 Rôle de l'automatisation n8n</w:t>
      </w:r>
    </w:p>
    <w:p>
      <w:r>
        <w:rPr>
          <w:b w:val="0"/>
          <w:i w:val="0"/>
          <w:sz w:val="22"/>
        </w:rPr>
        <w:t>n8n est utilisé uniquement comme client d'automatisation : il s'authentifie avec le compte d'un comptable (JWT, mêmes droits qu'une connexion manuelle à l'interface), dépose des factures par lot via l'API, puis déclenche le même pipeline IA que l'interface web. n8n n'appelle à aucun moment l'action de validation définitive d'une écriture (endpoint distinct, réservé à une action humaine explicite dans l'interface) : l'automatisation accélère la soumission des factures, pas la décision comptable elle-même.</w:t>
      </w:r>
    </w:p>
    <w:p>
      <w:pPr>
        <w:pStyle w:val="Heading1"/>
      </w:pPr>
      <w:r>
        <w:rPr>
          <w:color w:val="1B2A55"/>
        </w:rPr>
        <w:t>3. Classification du niveau de risque</w:t>
      </w:r>
    </w:p>
    <w:p>
      <w:pPr>
        <w:pStyle w:val="Heading2"/>
      </w:pPr>
      <w:r>
        <w:rPr>
          <w:color w:val="1B2A55"/>
        </w:rPr>
        <w:t>3.1 Analyse au regard de l'Annexe III (systèmes à haut risque)</w:t>
      </w:r>
    </w:p>
    <w:p>
      <w:r>
        <w:rPr>
          <w:b w:val="0"/>
          <w:i w:val="0"/>
          <w:sz w:val="22"/>
        </w:rPr>
        <w:t>L'Annexe III du règlement énumère limitativement les domaines classés à haut risque : entre autres, l'évaluation de solvabilité et de notation de crédit, la tarification de l'assurance-vie/santé, le recrutement, l'éducation, les infrastructures critiques, l'application de la loi, et la biométrie. La génération assistée d'écritures comptables internes à une entreprise, toujours soumise à validation humaine avant tout effet, ne correspond à aucune de ces catégories : Compta-IA n'évalue ni la solvabilité d'une personne, ni son accès à un service essentiel, et ne produit aucun effet juridique ou financier automatique sans intervention humaine.</w:t>
      </w:r>
    </w:p>
    <w:p>
      <w:r>
        <w:rPr>
          <w:b w:val="0"/>
          <w:i w:val="0"/>
          <w:sz w:val="22"/>
        </w:rPr>
        <w:t>Compta-IA n'est pas non plus un modèle d'IA à usage général (GPAI) au sens du Titre VIII du règlement : ses modèles de classification sont entraînés en interne, sur un périmètre fonctionnel restreint et déterminé (classification d'opérations comptables), non comme des modèles génératifs à usage large.</w:t>
      </w:r>
    </w:p>
    <w:p>
      <w:pPr>
        <w:pStyle w:val="Heading2"/>
      </w:pPr>
      <w:r>
        <w:rPr>
          <w:color w:val="1B2A55"/>
        </w:rPr>
        <w:t>3.2 Conclusion de classification</w:t>
      </w:r>
    </w:p>
    <w:p>
      <w:r>
        <w:rPr>
          <w:b w:val="0"/>
          <w:i w:val="0"/>
          <w:sz w:val="22"/>
        </w:rPr>
      </w:r>
      <w:r>
        <w:rPr>
          <w:b/>
          <w:color w:val="1B2A55"/>
        </w:rPr>
        <w:t>Catégorie retenue : système d'IA à risque minimal/limité (Art. 6 et Annexe III — aucun critère de haut risque identifié).</w:t>
      </w:r>
    </w:p>
    <w:p>
      <w:r>
        <w:rPr>
          <w:b w:val="0"/>
          <w:i w:val="0"/>
          <w:sz w:val="22"/>
        </w:rPr>
        <w:t>À ce niveau, le règlement n'impose pas d'obligations légales strictes (évaluation de conformité, marquage CE, enregistrement dans la base de données européenne). Les sections suivantes documentent néanmoins, à titre de bonne pratique, les mesures déjà présentes dans Compta-IA qui s'alignent sur l'esprit des exigences prévues pour les systèmes à haut risque (chapitre III, section 2) — une démarche volontairement plus exigeante que le minimum requis.</w:t>
      </w:r>
    </w:p>
    <w:p>
      <w:pPr>
        <w:pStyle w:val="Heading1"/>
      </w:pPr>
      <w:r>
        <w:rPr>
          <w:color w:val="1B2A55"/>
        </w:rPr>
        <w:t>4. Correspondance exigences — mesures techniques</w:t>
      </w:r>
    </w:p>
    <w:p>
      <w:r>
        <w:rPr>
          <w:b w:val="0"/>
          <w:i w:val="0"/>
          <w:sz w:val="22"/>
        </w:rPr>
        <w:t>Le tableau suivant met en correspondance les exigences-clés du règlement (telles que formulées pour les systèmes à haut risque, utilisées ici comme référentiel de bonne pratique) avec les mesures effectivement implémentées dans Compta-IA.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1B2A55"/>
          </w:tcPr>
          <w:p>
            <w:r/>
            <w:r>
              <w:rPr>
                <w:b/>
                <w:color w:val="FFFFFF"/>
                <w:sz w:val="20"/>
              </w:rPr>
              <w:t>Article EU AI Act</w:t>
            </w:r>
          </w:p>
        </w:tc>
        <w:tc>
          <w:tcPr>
            <w:tcW w:type="dxa" w:w="2835"/>
            <w:shd w:val="clear" w:color="auto" w:fill="1B2A55"/>
          </w:tcPr>
          <w:p>
            <w:r/>
            <w:r>
              <w:rPr>
                <w:b/>
                <w:color w:val="FFFFFF"/>
                <w:sz w:val="20"/>
              </w:rPr>
              <w:t>Exigence</w:t>
            </w:r>
          </w:p>
        </w:tc>
        <w:tc>
          <w:tcPr>
            <w:tcW w:type="dxa" w:w="5272"/>
            <w:shd w:val="clear" w:color="auto" w:fill="1B2A55"/>
          </w:tcPr>
          <w:p>
            <w:r/>
            <w:r>
              <w:rPr>
                <w:b/>
                <w:color w:val="FFFFFF"/>
                <w:sz w:val="20"/>
              </w:rPr>
              <w:t>Mesure mise en œuvre dans Compta-IA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Art. 9 — Gestion des risques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Processus continu d'identification et d'atténuation des risques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19"/>
              </w:rPr>
              <w:t>Score de confiance calculé à chaque écriture ; seuil de rejet automatique (OCR_REJECT_THRESHOLD) en dessous duquel la facture est marquée en erreur plutôt que de produire une écriture non fiable.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Art. 10 — Gouvernance des données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Qualité et traçabilité des données d'entraînement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19"/>
              </w:rPr>
              <w:t>Les données d'entraînement sont exclusivement les corrections déjà validées par un comptable (aucune donnée non vérifiée n'entre dans le réentraînement) ; chaque correction est historisée et marquée « utilisée pour l'entraînement ».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Art. 12 — Journalisation (logging)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Conservation automatique des événements significatifs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19"/>
              </w:rPr>
              <w:t>Journal d'audit en append-only (table « historique ») : chaque import, correction, validation et rejet est journalisé avec l'utilisateur, la date et l'ancienne/nouvelle valeur.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Art. 13 — Transparence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L'utilisateur doit comprendre les sorties du système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19"/>
              </w:rPr>
              <w:t>Chaque écriture proposée affiche son score de confiance, le texte OCR source et les entités extraites ayant mené à la proposition — rien n'est une boîte noire opaque pour le comptable.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Art. 14 — Contrôle humain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Un humain doit pouvoir superviser, corriger et empêcher l'action du système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19"/>
              </w:rPr>
              <w:t>Aucune écriture n'est comptabilisée sans validation explicite (ValidateEntryUseCase) ; le comptable peut corriger tout champ avant validation ou rejeter entièrement la facture (RejectInvoiceUseCase).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Art. 15 — Exactitude, robustesse, cybersécurité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Performance mesurée et protection contre la dégradation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19"/>
              </w:rPr>
              <w:t>Protocole anti-régression : un nouveau modèle n'est promu en production que si son F1-score macro est supérieur ou égal à celui du modèle actif (split temporel 80/20, versions jamais écrasées — retour arrière possible) ; repli automatique EasyOCR → Tesseract en cas d'échec OCR.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Art. 12 / Annexe IV — Documentation technique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Documentation de l'architecture et du fonctionnement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19"/>
              </w:rPr>
              <w:t>Mémoire de fin d'études (architecture en couches, pipeline documenté en 8 étapes, modèle de données), code source versionné, suite de tests automatisés (y compris tests d'isolation multi-entreprise).</w:t>
            </w:r>
          </w:p>
        </w:tc>
      </w:tr>
    </w:tbl>
    <w:p/>
    <w:p>
      <w:pPr>
        <w:pStyle w:val="Heading1"/>
      </w:pPr>
      <w:r>
        <w:rPr>
          <w:color w:val="1B2A55"/>
        </w:rPr>
        <w:t>5. Sécurité, accès et protection des données</w:t>
      </w:r>
    </w:p>
    <w:p>
      <w:pPr>
        <w:pStyle w:val="ListBullet"/>
      </w:pPr>
      <w:r>
        <w:t>Authentification par jeton JWT à expiration pour tout accès à l'API (aucun endpoint métier public).</w:t>
      </w:r>
    </w:p>
    <w:p>
      <w:pPr>
        <w:pStyle w:val="ListBullet"/>
      </w:pPr>
      <w:r>
        <w:t>Cloisonnement strict multi-entreprise : chaque facture, fournisseur et écriture est rattachée à une entreprise (company_id) ; un comptable d'une entreprise ne peut ni voir ni modifier les données d'une autre (vérifié par une suite de tests dédiée).</w:t>
      </w:r>
    </w:p>
    <w:p>
      <w:pPr>
        <w:pStyle w:val="ListBullet"/>
      </w:pPr>
      <w:r>
        <w:t>Rôles distincts avec droits différenciés : administrateur global, administrateur d'entreprise, comptable — principe du moindre privilège.</w:t>
      </w:r>
    </w:p>
    <w:p>
      <w:pPr>
        <w:pStyle w:val="ListBullet"/>
      </w:pPr>
      <w:r>
        <w:t>Mots de passe hachés (jamais stockés en clair) ; clé secrète applicative générée aléatoirement à l'installation.</w:t>
      </w:r>
    </w:p>
    <w:p>
      <w:pPr>
        <w:pStyle w:val="Heading1"/>
      </w:pPr>
      <w:r>
        <w:rPr>
          <w:color w:val="1B2A55"/>
        </w:rPr>
        <w:t>6. Limites identifiées et actions correctives recommandées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B2A55"/>
          </w:tcPr>
          <w:p>
            <w:r/>
            <w:r>
              <w:rPr>
                <w:b/>
                <w:color w:val="FFFFFF"/>
                <w:sz w:val="20"/>
              </w:rPr>
              <w:t>Limite actuelle</w:t>
            </w:r>
          </w:p>
        </w:tc>
        <w:tc>
          <w:tcPr>
            <w:tcW w:type="dxa" w:w="3118"/>
            <w:shd w:val="clear" w:color="auto" w:fill="1B2A55"/>
          </w:tcPr>
          <w:p>
            <w:r/>
            <w:r>
              <w:rPr>
                <w:b/>
                <w:color w:val="FFFFFF"/>
                <w:sz w:val="20"/>
              </w:rPr>
              <w:t>Risque associé</w:t>
            </w:r>
          </w:p>
        </w:tc>
        <w:tc>
          <w:tcPr>
            <w:tcW w:type="dxa" w:w="3685"/>
            <w:shd w:val="clear" w:color="auto" w:fill="1B2A55"/>
          </w:tcPr>
          <w:p>
            <w:r/>
            <w:r>
              <w:rPr>
                <w:b/>
                <w:color w:val="FFFFFF"/>
                <w:sz w:val="20"/>
              </w:rPr>
              <w:t>Action recommandée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Corpus d'entraînement encore limité en volume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Le modèle statistique peut sous-performer sur des cas rares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Poursuivre la collecte de corrections validées avant d'élargir la bascule vers le modèle ML comme source principale de classification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Pas d'évaluation de conformité par un tiers indépendant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Auto-évaluation uniquement déclarative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Faire réaliser un audit externe si le système venait à être commercialisé dans l'UE ou dans un secteur réglementé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Déploiement actuel sans environnement de production durci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Risque opérationnel (disponibilité, sauvegardes)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Mettre en place sauvegardes automatiques de la base de données et supervision applicative avant tout usage en production réelle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Absence de registre formel des incidents IA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Pas de suivi structuré des anomalies de prédiction en conditions réelles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Ajouter un mécanisme de signalement explicite des prédictions jugées erronées par les comptables, au-delà de la simple correction</w:t>
            </w:r>
          </w:p>
        </w:tc>
      </w:tr>
    </w:tbl>
    <w:p/>
    <w:p>
      <w:pPr>
        <w:pStyle w:val="Heading1"/>
      </w:pPr>
      <w:r>
        <w:rPr>
          <w:color w:val="1B2A55"/>
        </w:rPr>
        <w:t>7. Conclusion</w:t>
      </w:r>
    </w:p>
    <w:p>
      <w:r>
        <w:rPr>
          <w:b w:val="0"/>
          <w:i w:val="0"/>
          <w:sz w:val="22"/>
        </w:rPr>
        <w:t>Compta-IA se classe, au regard des critères de l'Annexe III du règlement européen sur l'IA, comme un système à risque minimal : il n'intervient sur aucun des domaines listés comme à haut risque, et ne produit aucun effet juridique ou financier sans validation humaine explicite. Au-delà de cette classification, le système intègre déjà, par choix de conception, plusieurs mesures alignées sur l'esprit des exigences prévues pour les systèmes à haut risque — contrôle humain systématique, journalisation complète, protocole anti-régression du modèle, transparence du score de confiance — ce qui en fait une base technique solide si une certification formelle devait un jour être recherchée.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