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case ID: TC01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 case description: Verify that the calculator correctly identifies precedence of parentheses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data: (3+(4*2))-5</w:t>
        <w:br w:type="textWrapping"/>
        <w:t xml:space="preserve">Expected Results: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Actual Results: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Pass/Fail Status: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case ID: TC02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 case description: Verify that the calculator correctly handles double negatives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 data: (-5)^2+(-5)^2</w:t>
        <w:br w:type="textWrapping"/>
        <w:t xml:space="preserve">Expected Results: 50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Actual Results: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Pass/Fail Status: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 case ID: TC03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 case description: Verify that the calculator returns a syntax error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data: 3+2+</w:t>
        <w:br w:type="textWrapping"/>
        <w:t xml:space="preserve">Expected Results: Syntax Error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Actual Results: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Pass/Fail Status:</w:t>
        <w:br w:type="textWrapping"/>
        <w:br w:type="textWrapping"/>
        <w:t xml:space="preserve">Test case ID: TC04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 case description: Verify that the calculator handles all operators correctly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 data: (3+1)*(2-(3^2))</w:t>
        <w:br w:type="textWrapping"/>
        <w:t xml:space="preserve">Expected Results: -28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Actual Results: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Pass/Fail Status: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