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F9B38">
      <w:pPr>
        <w:jc w:val="center"/>
        <w:rPr>
          <w:rFonts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《金融与经济</w:t>
      </w:r>
      <w:r>
        <w:rPr>
          <w:rFonts w:hint="eastAsia" w:ascii="宋体" w:hAnsi="宋体" w:eastAsia="宋体"/>
          <w:b/>
          <w:sz w:val="28"/>
          <w:szCs w:val="28"/>
        </w:rPr>
        <w:t>数据挖掘</w:t>
      </w:r>
      <w:r>
        <w:rPr>
          <w:rFonts w:ascii="宋体" w:hAnsi="宋体" w:eastAsia="宋体"/>
          <w:b/>
          <w:sz w:val="28"/>
          <w:szCs w:val="28"/>
        </w:rPr>
        <w:t>》作业5：</w:t>
      </w:r>
      <w:r>
        <w:rPr>
          <w:rFonts w:hint="eastAsia" w:ascii="宋体" w:hAnsi="宋体" w:eastAsia="宋体"/>
          <w:b/>
          <w:sz w:val="28"/>
          <w:szCs w:val="28"/>
        </w:rPr>
        <w:t xml:space="preserve"> </w:t>
      </w:r>
    </w:p>
    <w:p w14:paraId="22D28877">
      <w:pPr>
        <w:jc w:val="center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A</w:t>
      </w:r>
      <w:r>
        <w:rPr>
          <w:rFonts w:ascii="宋体" w:hAnsi="宋体" w:eastAsia="宋体"/>
          <w:b/>
          <w:sz w:val="28"/>
          <w:szCs w:val="28"/>
        </w:rPr>
        <w:t>lpha</w:t>
      </w:r>
      <w:r>
        <w:rPr>
          <w:rFonts w:hint="eastAsia" w:ascii="宋体" w:hAnsi="宋体" w:eastAsia="宋体"/>
          <w:b/>
          <w:sz w:val="28"/>
          <w:szCs w:val="28"/>
        </w:rPr>
        <w:t>的持续性-</w:t>
      </w:r>
      <w:r>
        <w:rPr>
          <w:rFonts w:ascii="宋体" w:hAnsi="宋体" w:eastAsia="宋体"/>
          <w:b/>
          <w:sz w:val="28"/>
          <w:szCs w:val="28"/>
        </w:rPr>
        <w:t>AI</w:t>
      </w:r>
      <w:r>
        <w:rPr>
          <w:rFonts w:hint="eastAsia" w:ascii="宋体" w:hAnsi="宋体" w:eastAsia="宋体"/>
          <w:b/>
          <w:sz w:val="28"/>
          <w:szCs w:val="28"/>
        </w:rPr>
        <w:t>辅助的上证5</w:t>
      </w:r>
      <w:r>
        <w:rPr>
          <w:rFonts w:ascii="宋体" w:hAnsi="宋体" w:eastAsia="宋体"/>
          <w:b/>
          <w:sz w:val="28"/>
          <w:szCs w:val="28"/>
        </w:rPr>
        <w:t>0</w:t>
      </w:r>
      <w:r>
        <w:rPr>
          <w:rFonts w:hint="eastAsia" w:ascii="宋体" w:hAnsi="宋体" w:eastAsia="宋体"/>
          <w:b/>
          <w:sz w:val="28"/>
          <w:szCs w:val="28"/>
        </w:rPr>
        <w:t>指数股数据分析</w:t>
      </w:r>
    </w:p>
    <w:p w14:paraId="01C9FDE6">
      <w:pPr>
        <w:rPr>
          <w:rFonts w:ascii="宋体" w:hAnsi="宋体" w:eastAsia="宋体"/>
          <w:szCs w:val="21"/>
        </w:rPr>
      </w:pPr>
    </w:p>
    <w:p w14:paraId="75A4A3D0">
      <w:pPr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一、实验目的</w:t>
      </w:r>
    </w:p>
    <w:p w14:paraId="6D7C3A53">
      <w:pPr>
        <w:widowControl/>
        <w:spacing w:line="360" w:lineRule="atLeast"/>
        <w:ind w:firstLine="420" w:firstLineChars="200"/>
        <w:jc w:val="left"/>
        <w:rPr>
          <w:rFonts w:ascii="Arial" w:hAnsi="Arial" w:eastAsia="宋体" w:cs="Arial"/>
          <w:color w:val="1F2329"/>
          <w:kern w:val="0"/>
          <w:szCs w:val="21"/>
        </w:rPr>
      </w:pPr>
      <w:r>
        <w:rPr>
          <w:rFonts w:ascii="Arial" w:hAnsi="Arial" w:eastAsia="宋体" w:cs="Arial"/>
          <w:color w:val="1F2329"/>
          <w:kern w:val="0"/>
          <w:szCs w:val="21"/>
        </w:rPr>
        <w:t xml:space="preserve">前面课程我们已经手动完成 </w:t>
      </w:r>
      <w:r>
        <w:rPr>
          <w:rFonts w:ascii="宋体" w:hAnsi="宋体" w:eastAsia="宋体" w:cs="Arial"/>
          <w:color w:val="1F2329"/>
          <w:kern w:val="0"/>
          <w:szCs w:val="21"/>
        </w:rPr>
        <w:t xml:space="preserve">CAPM / 单因子 / 多因子模型 </w:t>
      </w:r>
      <w:r>
        <w:rPr>
          <w:rFonts w:ascii="Arial" w:hAnsi="Arial" w:eastAsia="宋体" w:cs="Arial"/>
          <w:color w:val="1F2329"/>
          <w:kern w:val="0"/>
          <w:szCs w:val="21"/>
        </w:rPr>
        <w:t>的代码实践，掌握了基础量化编程逻辑。本次作业</w:t>
      </w:r>
      <w:r>
        <w:rPr>
          <w:rFonts w:ascii="Arial" w:hAnsi="Arial" w:eastAsia="宋体" w:cs="Arial"/>
          <w:b/>
          <w:bCs/>
          <w:color w:val="1F2329"/>
          <w:kern w:val="0"/>
          <w:szCs w:val="21"/>
        </w:rPr>
        <w:t>不再要求手动编写底层代码</w:t>
      </w:r>
      <w:r>
        <w:rPr>
          <w:rFonts w:ascii="Arial" w:hAnsi="Arial" w:eastAsia="宋体" w:cs="Arial"/>
          <w:color w:val="1F2329"/>
          <w:kern w:val="0"/>
          <w:szCs w:val="21"/>
        </w:rPr>
        <w:t xml:space="preserve">，全程使用 </w:t>
      </w:r>
      <w:r>
        <w:rPr>
          <w:rFonts w:ascii="Times New Roman" w:hAnsi="Times New Roman" w:eastAsia="宋体" w:cs="Times New Roman"/>
          <w:color w:val="1F2329"/>
          <w:kern w:val="0"/>
          <w:szCs w:val="21"/>
        </w:rPr>
        <w:t xml:space="preserve">CodeBuddy/AI </w:t>
      </w:r>
      <w:r>
        <w:rPr>
          <w:rFonts w:ascii="Arial" w:hAnsi="Arial" w:eastAsia="宋体" w:cs="Arial"/>
          <w:b/>
          <w:bCs/>
          <w:color w:val="1F2329"/>
          <w:kern w:val="0"/>
          <w:szCs w:val="21"/>
        </w:rPr>
        <w:t>工具</w:t>
      </w:r>
      <w:r>
        <w:rPr>
          <w:rFonts w:ascii="Arial" w:hAnsi="Arial" w:eastAsia="宋体" w:cs="Arial"/>
          <w:color w:val="1F2329"/>
          <w:kern w:val="0"/>
          <w:szCs w:val="21"/>
        </w:rPr>
        <w:t xml:space="preserve"> 生成代码，核心目标：</w:t>
      </w:r>
    </w:p>
    <w:p w14:paraId="51D67491">
      <w:pPr>
        <w:widowControl/>
        <w:spacing w:line="360" w:lineRule="atLeast"/>
        <w:jc w:val="left"/>
        <w:rPr>
          <w:rFonts w:ascii="Arial" w:hAnsi="Arial" w:eastAsia="宋体" w:cs="Arial"/>
          <w:color w:val="1F2329"/>
          <w:kern w:val="0"/>
          <w:szCs w:val="21"/>
        </w:rPr>
      </w:pPr>
      <w:r>
        <w:rPr>
          <w:rFonts w:hint="eastAsia" w:ascii="Arial" w:hAnsi="Arial" w:eastAsia="宋体" w:cs="Arial"/>
          <w:color w:val="1F2329"/>
          <w:kern w:val="0"/>
          <w:szCs w:val="21"/>
        </w:rPr>
        <w:t>1.</w:t>
      </w:r>
      <w:r>
        <w:rPr>
          <w:rFonts w:ascii="Arial" w:hAnsi="Arial" w:eastAsia="宋体" w:cs="Arial"/>
          <w:color w:val="1F2329"/>
          <w:kern w:val="0"/>
          <w:szCs w:val="21"/>
        </w:rPr>
        <w:t xml:space="preserve"> 学会用 AI 快速完成量化实证分析</w:t>
      </w:r>
    </w:p>
    <w:p w14:paraId="2B42C69A">
      <w:pPr>
        <w:widowControl/>
        <w:spacing w:line="360" w:lineRule="atLeast"/>
        <w:jc w:val="left"/>
        <w:rPr>
          <w:rFonts w:ascii="Arial" w:hAnsi="Arial" w:eastAsia="宋体" w:cs="Arial"/>
          <w:color w:val="1F2329"/>
          <w:kern w:val="0"/>
          <w:szCs w:val="21"/>
        </w:rPr>
      </w:pPr>
      <w:r>
        <w:rPr>
          <w:rFonts w:hint="eastAsia" w:ascii="Arial" w:hAnsi="Arial" w:eastAsia="宋体" w:cs="Arial"/>
          <w:color w:val="1F2329"/>
          <w:kern w:val="0"/>
          <w:szCs w:val="21"/>
        </w:rPr>
        <w:t>2.</w:t>
      </w:r>
      <w:r>
        <w:rPr>
          <w:rFonts w:ascii="Arial" w:hAnsi="Arial" w:eastAsia="宋体" w:cs="Arial"/>
          <w:color w:val="1F2329"/>
          <w:kern w:val="0"/>
          <w:szCs w:val="21"/>
        </w:rPr>
        <w:t xml:space="preserve"> </w:t>
      </w:r>
      <w:r>
        <w:rPr>
          <w:rFonts w:hint="eastAsia" w:ascii="Arial" w:hAnsi="Arial" w:eastAsia="宋体" w:cs="Arial"/>
          <w:color w:val="1F2329"/>
          <w:kern w:val="0"/>
          <w:szCs w:val="21"/>
        </w:rPr>
        <w:t>研究过去高 Alpha 股票，未来是否依然能保持高 Alpha？</w:t>
      </w:r>
      <w:r>
        <w:rPr>
          <w:rFonts w:ascii="Arial" w:hAnsi="Arial" w:eastAsia="宋体" w:cs="Arial"/>
          <w:color w:val="1F2329"/>
          <w:kern w:val="0"/>
          <w:szCs w:val="21"/>
        </w:rPr>
        <w:t>理解 Alpha 持续性的意义</w:t>
      </w:r>
      <w:r>
        <w:rPr>
          <w:rFonts w:hint="eastAsia" w:ascii="Arial" w:hAnsi="Arial" w:eastAsia="宋体" w:cs="Arial"/>
          <w:color w:val="1F2329"/>
          <w:kern w:val="0"/>
          <w:szCs w:val="21"/>
        </w:rPr>
        <w:t>。</w:t>
      </w:r>
    </w:p>
    <w:p w14:paraId="3BC9D950">
      <w:pPr>
        <w:widowControl/>
        <w:spacing w:line="360" w:lineRule="atLeast"/>
        <w:jc w:val="left"/>
        <w:rPr>
          <w:rFonts w:ascii="Arial" w:hAnsi="Arial" w:eastAsia="宋体" w:cs="Arial"/>
          <w:color w:val="1F2329"/>
          <w:kern w:val="0"/>
          <w:szCs w:val="21"/>
        </w:rPr>
      </w:pPr>
      <w:r>
        <w:rPr>
          <w:rFonts w:hint="eastAsia" w:ascii="Arial" w:hAnsi="Arial" w:eastAsia="宋体" w:cs="Arial"/>
          <w:color w:val="1F2329"/>
          <w:kern w:val="0"/>
          <w:szCs w:val="21"/>
        </w:rPr>
        <w:t>3.</w:t>
      </w:r>
      <w:r>
        <w:rPr>
          <w:rFonts w:ascii="Arial" w:hAnsi="Arial" w:eastAsia="宋体" w:cs="Arial"/>
          <w:color w:val="1F2329"/>
          <w:kern w:val="0"/>
          <w:szCs w:val="21"/>
        </w:rPr>
        <w:t xml:space="preserve"> 完成实证、解读结果、形成结论</w:t>
      </w:r>
    </w:p>
    <w:p w14:paraId="70E3A5B7">
      <w:pPr>
        <w:widowControl/>
        <w:spacing w:line="360" w:lineRule="atLeast"/>
        <w:jc w:val="left"/>
        <w:rPr>
          <w:rFonts w:ascii="Arial" w:hAnsi="Arial" w:eastAsia="宋体" w:cs="Arial"/>
          <w:color w:val="1F2329"/>
          <w:kern w:val="0"/>
          <w:szCs w:val="21"/>
        </w:rPr>
      </w:pPr>
    </w:p>
    <w:p w14:paraId="1FFE2EF8">
      <w:pPr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二、实验原理</w:t>
      </w:r>
    </w:p>
    <w:p w14:paraId="38AAB3B0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1</w:t>
      </w:r>
      <w:r>
        <w:rPr>
          <w:rFonts w:hint="eastAsia" w:ascii="宋体" w:hAnsi="宋体" w:eastAsia="宋体"/>
          <w:szCs w:val="21"/>
        </w:rPr>
        <w:t>.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CAPM 模型（标准时序回归）</w:t>
      </w:r>
    </w:p>
    <w:p w14:paraId="58D7C8F3">
      <w:pPr>
        <w:rPr>
          <w:rFonts w:ascii="宋体" w:hAnsi="宋体" w:eastAsia="宋体" w:cs="Arial"/>
          <w:color w:val="1F2329"/>
          <w:szCs w:val="21"/>
        </w:rPr>
      </w:pPr>
      <w:r>
        <w:rPr>
          <w:rFonts w:ascii="宋体" w:hAnsi="宋体" w:eastAsia="宋体" w:cs="Arial"/>
          <w:color w:val="1F2329"/>
          <w:szCs w:val="21"/>
        </w:rPr>
        <w:t>Ri,t</w:t>
      </w:r>
      <w:r>
        <w:rPr>
          <w:rFonts w:hint="eastAsia" w:ascii="MS Gothic" w:hAnsi="MS Gothic" w:eastAsia="MS Gothic" w:cs="MS Gothic"/>
          <w:color w:val="1F2329"/>
          <w:szCs w:val="21"/>
        </w:rPr>
        <w:t>​</w:t>
      </w:r>
      <w:r>
        <w:rPr>
          <w:rFonts w:hint="eastAsia" w:ascii="微软雅黑" w:hAnsi="微软雅黑" w:eastAsia="微软雅黑" w:cs="微软雅黑"/>
          <w:color w:val="1F2329"/>
          <w:szCs w:val="21"/>
        </w:rPr>
        <w:t>−</w:t>
      </w:r>
      <w:r>
        <w:rPr>
          <w:rFonts w:ascii="宋体" w:hAnsi="宋体" w:eastAsia="宋体" w:cs="Arial"/>
          <w:color w:val="1F2329"/>
          <w:szCs w:val="21"/>
        </w:rPr>
        <w:t>Rf</w:t>
      </w:r>
      <w:r>
        <w:rPr>
          <w:rFonts w:hint="eastAsia" w:ascii="MS Gothic" w:hAnsi="MS Gothic" w:eastAsia="MS Gothic" w:cs="MS Gothic"/>
          <w:color w:val="1F2329"/>
          <w:szCs w:val="21"/>
        </w:rPr>
        <w:t>​</w:t>
      </w:r>
      <w:r>
        <w:rPr>
          <w:rFonts w:ascii="宋体" w:hAnsi="宋体" w:eastAsia="宋体" w:cs="Arial"/>
          <w:color w:val="1F2329"/>
          <w:szCs w:val="21"/>
        </w:rPr>
        <w:t>=αi</w:t>
      </w:r>
      <w:r>
        <w:rPr>
          <w:rFonts w:hint="eastAsia" w:ascii="MS Gothic" w:hAnsi="MS Gothic" w:eastAsia="MS Gothic" w:cs="MS Gothic"/>
          <w:color w:val="1F2329"/>
          <w:szCs w:val="21"/>
        </w:rPr>
        <w:t>​</w:t>
      </w:r>
      <w:r>
        <w:rPr>
          <w:rFonts w:ascii="宋体" w:hAnsi="宋体" w:eastAsia="宋体" w:cs="Arial"/>
          <w:color w:val="1F2329"/>
          <w:szCs w:val="21"/>
        </w:rPr>
        <w:t>+βi</w:t>
      </w:r>
      <w:r>
        <w:rPr>
          <w:rFonts w:hint="eastAsia" w:ascii="MS Gothic" w:hAnsi="MS Gothic" w:eastAsia="MS Gothic" w:cs="MS Gothic"/>
          <w:color w:val="1F2329"/>
          <w:szCs w:val="21"/>
        </w:rPr>
        <w:t>​</w:t>
      </w:r>
      <w:r>
        <w:rPr>
          <w:rFonts w:ascii="宋体" w:hAnsi="宋体" w:eastAsia="宋体" w:cs="Arial"/>
          <w:color w:val="1F2329"/>
          <w:szCs w:val="21"/>
        </w:rPr>
        <w:t>(Rm,t</w:t>
      </w:r>
      <w:r>
        <w:rPr>
          <w:rFonts w:hint="eastAsia" w:ascii="MS Gothic" w:hAnsi="MS Gothic" w:eastAsia="MS Gothic" w:cs="MS Gothic"/>
          <w:color w:val="1F2329"/>
          <w:szCs w:val="21"/>
        </w:rPr>
        <w:t>​</w:t>
      </w:r>
      <w:r>
        <w:rPr>
          <w:rFonts w:hint="eastAsia" w:ascii="微软雅黑" w:hAnsi="微软雅黑" w:eastAsia="微软雅黑" w:cs="微软雅黑"/>
          <w:color w:val="1F2329"/>
          <w:szCs w:val="21"/>
        </w:rPr>
        <w:t>−</w:t>
      </w:r>
      <w:r>
        <w:rPr>
          <w:rFonts w:ascii="宋体" w:hAnsi="宋体" w:eastAsia="宋体" w:cs="Arial"/>
          <w:color w:val="1F2329"/>
          <w:szCs w:val="21"/>
        </w:rPr>
        <w:t>Rf</w:t>
      </w:r>
      <w:r>
        <w:rPr>
          <w:rFonts w:hint="eastAsia" w:ascii="MS Gothic" w:hAnsi="MS Gothic" w:eastAsia="MS Gothic" w:cs="MS Gothic"/>
          <w:color w:val="1F2329"/>
          <w:szCs w:val="21"/>
        </w:rPr>
        <w:t>​</w:t>
      </w:r>
      <w:r>
        <w:rPr>
          <w:rFonts w:ascii="宋体" w:hAnsi="宋体" w:eastAsia="宋体" w:cs="Arial"/>
          <w:color w:val="1F2329"/>
          <w:szCs w:val="21"/>
        </w:rPr>
        <w:t>)+εi,t</w:t>
      </w:r>
      <w:r>
        <w:rPr>
          <w:rFonts w:hint="eastAsia" w:ascii="MS Gothic" w:hAnsi="MS Gothic" w:eastAsia="MS Gothic" w:cs="MS Gothic"/>
          <w:color w:val="1F2329"/>
          <w:szCs w:val="21"/>
        </w:rPr>
        <w:t>​</w:t>
      </w:r>
    </w:p>
    <w:p w14:paraId="56530630">
      <w:pPr>
        <w:widowControl/>
        <w:spacing w:line="360" w:lineRule="atLeast"/>
        <w:jc w:val="left"/>
        <w:rPr>
          <w:rFonts w:ascii="宋体" w:hAnsi="宋体" w:eastAsia="宋体" w:cs="Arial"/>
          <w:color w:val="1F2329"/>
          <w:kern w:val="0"/>
          <w:szCs w:val="21"/>
        </w:rPr>
      </w:pPr>
      <w:r>
        <w:rPr>
          <w:rFonts w:ascii="宋体" w:hAnsi="宋体" w:eastAsia="宋体" w:cs="Times New Roman"/>
          <w:color w:val="1F2329"/>
          <w:kern w:val="0"/>
          <w:szCs w:val="21"/>
        </w:rPr>
        <w:t>Ri,t</w:t>
      </w:r>
      <w:r>
        <w:rPr>
          <w:rFonts w:hint="eastAsia" w:ascii="MS Gothic" w:hAnsi="MS Gothic" w:eastAsia="MS Gothic" w:cs="MS Gothic"/>
          <w:color w:val="1F2329"/>
          <w:kern w:val="0"/>
          <w:szCs w:val="21"/>
        </w:rPr>
        <w:t>​</w:t>
      </w:r>
      <w:r>
        <w:rPr>
          <w:rFonts w:ascii="宋体" w:hAnsi="宋体" w:eastAsia="宋体" w:cs="Arial"/>
          <w:color w:val="1F2329"/>
          <w:kern w:val="0"/>
          <w:szCs w:val="21"/>
        </w:rPr>
        <w:t>：个股日收益率</w:t>
      </w:r>
    </w:p>
    <w:p w14:paraId="4A213767">
      <w:pPr>
        <w:widowControl/>
        <w:spacing w:line="360" w:lineRule="atLeast"/>
        <w:jc w:val="left"/>
        <w:rPr>
          <w:rFonts w:ascii="宋体" w:hAnsi="宋体" w:eastAsia="宋体" w:cs="Arial"/>
          <w:color w:val="1F2329"/>
          <w:kern w:val="0"/>
          <w:szCs w:val="21"/>
        </w:rPr>
      </w:pPr>
      <w:r>
        <w:rPr>
          <w:rFonts w:ascii="宋体" w:hAnsi="宋体" w:eastAsia="宋体" w:cs="Times New Roman"/>
          <w:color w:val="1F2329"/>
          <w:kern w:val="0"/>
          <w:szCs w:val="21"/>
        </w:rPr>
        <w:t>Rf</w:t>
      </w:r>
      <w:r>
        <w:rPr>
          <w:rFonts w:hint="eastAsia" w:ascii="MS Gothic" w:hAnsi="MS Gothic" w:eastAsia="MS Gothic" w:cs="MS Gothic"/>
          <w:color w:val="1F2329"/>
          <w:kern w:val="0"/>
          <w:szCs w:val="21"/>
        </w:rPr>
        <w:t>​</w:t>
      </w:r>
      <w:r>
        <w:rPr>
          <w:rFonts w:ascii="宋体" w:hAnsi="宋体" w:eastAsia="宋体" w:cs="Arial"/>
          <w:color w:val="1F2329"/>
          <w:kern w:val="0"/>
          <w:szCs w:val="21"/>
        </w:rPr>
        <w:t>：无风险利率（年化 1.5%，日度折算）</w:t>
      </w:r>
    </w:p>
    <w:p w14:paraId="77574DB2">
      <w:pPr>
        <w:widowControl/>
        <w:spacing w:line="360" w:lineRule="atLeast"/>
        <w:jc w:val="left"/>
        <w:rPr>
          <w:rFonts w:ascii="宋体" w:hAnsi="宋体" w:eastAsia="宋体" w:cs="Arial"/>
          <w:color w:val="1F2329"/>
          <w:kern w:val="0"/>
          <w:szCs w:val="21"/>
        </w:rPr>
      </w:pPr>
      <w:r>
        <w:rPr>
          <w:rFonts w:ascii="宋体" w:hAnsi="宋体" w:eastAsia="宋体" w:cs="Times New Roman"/>
          <w:color w:val="1F2329"/>
          <w:kern w:val="0"/>
          <w:szCs w:val="21"/>
        </w:rPr>
        <w:t>Rm,t</w:t>
      </w:r>
      <w:r>
        <w:rPr>
          <w:rFonts w:hint="eastAsia" w:ascii="MS Gothic" w:hAnsi="MS Gothic" w:eastAsia="MS Gothic" w:cs="MS Gothic"/>
          <w:color w:val="1F2329"/>
          <w:kern w:val="0"/>
          <w:szCs w:val="21"/>
        </w:rPr>
        <w:t>​</w:t>
      </w:r>
      <w:r>
        <w:rPr>
          <w:rFonts w:ascii="宋体" w:hAnsi="宋体" w:eastAsia="宋体" w:cs="Arial"/>
          <w:color w:val="1F2329"/>
          <w:kern w:val="0"/>
          <w:szCs w:val="21"/>
        </w:rPr>
        <w:t>：</w:t>
      </w:r>
      <w:r>
        <w:rPr>
          <w:rFonts w:hint="eastAsia" w:ascii="宋体" w:hAnsi="宋体" w:eastAsia="宋体" w:cs="Arial"/>
          <w:color w:val="1F2329"/>
          <w:kern w:val="0"/>
          <w:szCs w:val="21"/>
        </w:rPr>
        <w:t>上证5</w:t>
      </w:r>
      <w:r>
        <w:rPr>
          <w:rFonts w:ascii="宋体" w:hAnsi="宋体" w:eastAsia="宋体" w:cs="Arial"/>
          <w:color w:val="1F2329"/>
          <w:kern w:val="0"/>
          <w:szCs w:val="21"/>
        </w:rPr>
        <w:t>0 指数收益率</w:t>
      </w:r>
    </w:p>
    <w:p w14:paraId="6B4C995A">
      <w:pPr>
        <w:widowControl/>
        <w:spacing w:line="360" w:lineRule="atLeast"/>
        <w:jc w:val="left"/>
        <w:rPr>
          <w:rFonts w:ascii="宋体" w:hAnsi="宋体" w:eastAsia="宋体" w:cs="Arial"/>
          <w:color w:val="1F2329"/>
          <w:kern w:val="0"/>
          <w:szCs w:val="21"/>
        </w:rPr>
      </w:pPr>
      <w:r>
        <w:rPr>
          <w:rFonts w:ascii="宋体" w:hAnsi="宋体" w:eastAsia="宋体" w:cs="Times New Roman"/>
          <w:color w:val="1F2329"/>
          <w:kern w:val="0"/>
          <w:szCs w:val="21"/>
        </w:rPr>
        <w:t>αi</w:t>
      </w:r>
      <w:r>
        <w:rPr>
          <w:rFonts w:hint="eastAsia" w:ascii="MS Gothic" w:hAnsi="MS Gothic" w:eastAsia="MS Gothic" w:cs="MS Gothic"/>
          <w:color w:val="1F2329"/>
          <w:kern w:val="0"/>
          <w:szCs w:val="21"/>
        </w:rPr>
        <w:t>​</w:t>
      </w:r>
      <w:r>
        <w:rPr>
          <w:rFonts w:ascii="宋体" w:hAnsi="宋体" w:eastAsia="宋体" w:cs="Arial"/>
          <w:color w:val="1F2329"/>
          <w:kern w:val="0"/>
          <w:szCs w:val="21"/>
        </w:rPr>
        <w:t>：个股超额收益（选股能力）</w:t>
      </w:r>
    </w:p>
    <w:p w14:paraId="74A3FCEA">
      <w:pPr>
        <w:widowControl/>
        <w:spacing w:line="360" w:lineRule="atLeast"/>
        <w:jc w:val="left"/>
        <w:rPr>
          <w:rFonts w:ascii="宋体" w:hAnsi="宋体" w:eastAsia="宋体" w:cs="Arial"/>
          <w:color w:val="1F2329"/>
          <w:kern w:val="0"/>
          <w:szCs w:val="21"/>
        </w:rPr>
      </w:pPr>
      <w:r>
        <w:rPr>
          <w:rFonts w:ascii="宋体" w:hAnsi="宋体" w:eastAsia="宋体" w:cs="Arial"/>
          <w:color w:val="1F2329"/>
          <w:kern w:val="0"/>
          <w:szCs w:val="21"/>
        </w:rPr>
        <w:t>2</w:t>
      </w:r>
      <w:r>
        <w:rPr>
          <w:rFonts w:hint="eastAsia" w:ascii="宋体" w:hAnsi="宋体" w:eastAsia="宋体" w:cs="Arial"/>
          <w:color w:val="1F2329"/>
          <w:kern w:val="0"/>
          <w:szCs w:val="21"/>
        </w:rPr>
        <w:t>.</w:t>
      </w:r>
      <w:r>
        <w:rPr>
          <w:rFonts w:ascii="宋体" w:hAnsi="宋体" w:eastAsia="宋体" w:cs="Arial"/>
          <w:color w:val="1F2329"/>
          <w:kern w:val="0"/>
          <w:szCs w:val="21"/>
        </w:rPr>
        <w:t xml:space="preserve"> Alpha 持续性</w:t>
      </w:r>
    </w:p>
    <w:p w14:paraId="522A9A83">
      <w:pPr>
        <w:widowControl/>
        <w:spacing w:line="360" w:lineRule="atLeast"/>
        <w:ind w:left="720"/>
        <w:jc w:val="left"/>
        <w:rPr>
          <w:rFonts w:ascii="宋体" w:hAnsi="宋体" w:eastAsia="宋体" w:cs="Arial"/>
          <w:color w:val="1F2329"/>
          <w:kern w:val="0"/>
          <w:szCs w:val="21"/>
        </w:rPr>
      </w:pPr>
      <w:r>
        <w:rPr>
          <w:rFonts w:ascii="宋体" w:hAnsi="宋体" w:eastAsia="宋体" w:cs="Arial"/>
          <w:color w:val="1F2329"/>
          <w:kern w:val="0"/>
          <w:szCs w:val="21"/>
        </w:rPr>
        <w:t>历史高 Alpha 组合在未来一段时期，仍能保持较高 Alpha 的能力</w:t>
      </w:r>
    </w:p>
    <w:p w14:paraId="47767705">
      <w:pPr>
        <w:widowControl/>
        <w:spacing w:line="360" w:lineRule="atLeast"/>
        <w:jc w:val="left"/>
        <w:rPr>
          <w:rFonts w:ascii="宋体" w:hAnsi="宋体" w:eastAsia="宋体" w:cs="Arial"/>
          <w:color w:val="1F2329"/>
          <w:kern w:val="0"/>
          <w:szCs w:val="21"/>
        </w:rPr>
      </w:pPr>
      <w:r>
        <w:rPr>
          <w:rFonts w:hint="eastAsia" w:ascii="宋体" w:hAnsi="宋体" w:eastAsia="宋体" w:cs="Arial"/>
          <w:color w:val="1F2329"/>
          <w:kern w:val="0"/>
          <w:szCs w:val="21"/>
        </w:rPr>
        <w:t>3.</w:t>
      </w:r>
      <w:r>
        <w:rPr>
          <w:rFonts w:ascii="宋体" w:hAnsi="宋体" w:eastAsia="宋体" w:cs="Arial"/>
          <w:color w:val="1F2329"/>
          <w:kern w:val="0"/>
          <w:szCs w:val="21"/>
        </w:rPr>
        <w:t xml:space="preserve"> 重合度 = 两期高 Alpha 股票交集数量 / 第一期股票池数量</w:t>
      </w:r>
    </w:p>
    <w:p w14:paraId="46A29D60">
      <w:pPr>
        <w:widowControl/>
        <w:spacing w:line="360" w:lineRule="atLeast"/>
        <w:jc w:val="left"/>
        <w:rPr>
          <w:rFonts w:ascii="宋体" w:hAnsi="宋体" w:eastAsia="宋体" w:cs="Arial"/>
          <w:color w:val="1F2329"/>
          <w:kern w:val="0"/>
          <w:szCs w:val="21"/>
        </w:rPr>
      </w:pPr>
    </w:p>
    <w:p w14:paraId="26C0D615">
      <w:pPr>
        <w:widowControl/>
        <w:spacing w:line="360" w:lineRule="atLeast"/>
        <w:jc w:val="left"/>
        <w:outlineLvl w:val="1"/>
        <w:rPr>
          <w:rFonts w:ascii="宋体" w:hAnsi="宋体" w:eastAsia="宋体" w:cs="Arial"/>
          <w:b/>
          <w:bCs/>
          <w:color w:val="1F2329"/>
          <w:kern w:val="0"/>
          <w:szCs w:val="21"/>
        </w:rPr>
      </w:pPr>
      <w:r>
        <w:rPr>
          <w:rFonts w:ascii="宋体" w:hAnsi="宋体" w:eastAsia="宋体" w:cs="Arial"/>
          <w:b/>
          <w:bCs/>
          <w:color w:val="1F2329"/>
          <w:kern w:val="0"/>
          <w:szCs w:val="21"/>
        </w:rPr>
        <w:t>三、实验数据</w:t>
      </w:r>
    </w:p>
    <w:p w14:paraId="4EE1A03F">
      <w:pPr>
        <w:widowControl/>
        <w:numPr>
          <w:ilvl w:val="0"/>
          <w:numId w:val="1"/>
        </w:numPr>
        <w:spacing w:line="360" w:lineRule="atLeast"/>
        <w:jc w:val="left"/>
        <w:rPr>
          <w:rFonts w:ascii="宋体" w:hAnsi="宋体" w:eastAsia="宋体" w:cs="Arial"/>
          <w:color w:val="1F2329"/>
          <w:kern w:val="0"/>
          <w:szCs w:val="21"/>
        </w:rPr>
      </w:pPr>
      <w:r>
        <w:rPr>
          <w:rFonts w:ascii="宋体" w:hAnsi="宋体" w:eastAsia="宋体" w:cs="Arial"/>
          <w:color w:val="1F2329"/>
          <w:kern w:val="0"/>
          <w:szCs w:val="21"/>
        </w:rPr>
        <w:t>数据来源：</w:t>
      </w:r>
      <w:r>
        <w:rPr>
          <w:rFonts w:ascii="宋体" w:hAnsi="宋体" w:eastAsia="宋体" w:cs="Arial"/>
          <w:b/>
          <w:bCs/>
          <w:color w:val="1F2329"/>
          <w:kern w:val="0"/>
          <w:szCs w:val="21"/>
        </w:rPr>
        <w:t>baostock</w:t>
      </w:r>
      <w:r>
        <w:rPr>
          <w:rFonts w:ascii="宋体" w:hAnsi="宋体" w:eastAsia="宋体" w:cs="Arial"/>
          <w:color w:val="1F2329"/>
          <w:kern w:val="0"/>
          <w:szCs w:val="21"/>
        </w:rPr>
        <w:t>（免费、稳定、无需 Token）</w:t>
      </w:r>
    </w:p>
    <w:p w14:paraId="40CD68B4">
      <w:pPr>
        <w:widowControl/>
        <w:numPr>
          <w:ilvl w:val="0"/>
          <w:numId w:val="1"/>
        </w:numPr>
        <w:spacing w:line="360" w:lineRule="atLeast"/>
        <w:jc w:val="left"/>
        <w:rPr>
          <w:rFonts w:ascii="宋体" w:hAnsi="宋体" w:eastAsia="宋体" w:cs="Arial"/>
          <w:color w:val="1F2329"/>
          <w:kern w:val="0"/>
          <w:szCs w:val="21"/>
        </w:rPr>
      </w:pPr>
      <w:r>
        <w:rPr>
          <w:rFonts w:ascii="宋体" w:hAnsi="宋体" w:eastAsia="宋体" w:cs="Arial"/>
          <w:color w:val="1F2329"/>
          <w:kern w:val="0"/>
          <w:szCs w:val="21"/>
        </w:rPr>
        <w:t>股票池：</w:t>
      </w:r>
      <w:r>
        <w:rPr>
          <w:rFonts w:hint="eastAsia" w:ascii="宋体" w:hAnsi="宋体" w:eastAsia="宋体" w:cs="Arial"/>
          <w:color w:val="1F2329"/>
          <w:kern w:val="0"/>
          <w:szCs w:val="21"/>
        </w:rPr>
        <w:t>上证5</w:t>
      </w:r>
      <w:r>
        <w:rPr>
          <w:rFonts w:ascii="宋体" w:hAnsi="宋体" w:eastAsia="宋体" w:cs="Arial"/>
          <w:color w:val="1F2329"/>
          <w:kern w:val="0"/>
          <w:szCs w:val="21"/>
        </w:rPr>
        <w:t>0</w:t>
      </w:r>
      <w:r>
        <w:rPr>
          <w:rFonts w:hint="eastAsia" w:ascii="宋体" w:hAnsi="宋体" w:eastAsia="宋体" w:cs="Arial"/>
          <w:color w:val="1F2329"/>
          <w:kern w:val="0"/>
          <w:szCs w:val="21"/>
        </w:rPr>
        <w:t>指数</w:t>
      </w:r>
      <w:r>
        <w:rPr>
          <w:rFonts w:ascii="宋体" w:hAnsi="宋体" w:eastAsia="宋体" w:cs="Arial"/>
          <w:b/>
          <w:bCs/>
          <w:color w:val="1F2329"/>
          <w:kern w:val="0"/>
          <w:szCs w:val="21"/>
        </w:rPr>
        <w:t>成分股</w:t>
      </w:r>
    </w:p>
    <w:p w14:paraId="233696BC">
      <w:pPr>
        <w:widowControl/>
        <w:numPr>
          <w:ilvl w:val="0"/>
          <w:numId w:val="1"/>
        </w:numPr>
        <w:spacing w:line="360" w:lineRule="atLeast"/>
        <w:jc w:val="left"/>
        <w:rPr>
          <w:rFonts w:ascii="宋体" w:hAnsi="宋体" w:eastAsia="宋体" w:cs="Arial"/>
          <w:color w:val="1F2329"/>
          <w:kern w:val="0"/>
          <w:szCs w:val="21"/>
        </w:rPr>
      </w:pPr>
      <w:r>
        <w:rPr>
          <w:rFonts w:ascii="宋体" w:hAnsi="宋体" w:eastAsia="宋体" w:cs="Arial"/>
          <w:color w:val="1F2329"/>
          <w:kern w:val="0"/>
          <w:szCs w:val="21"/>
        </w:rPr>
        <w:t>样本内（训练期）：2019-01-01 → 2021-12-31</w:t>
      </w:r>
    </w:p>
    <w:p w14:paraId="00417FDF">
      <w:pPr>
        <w:widowControl/>
        <w:numPr>
          <w:ilvl w:val="0"/>
          <w:numId w:val="1"/>
        </w:numPr>
        <w:spacing w:line="360" w:lineRule="atLeast"/>
        <w:jc w:val="left"/>
        <w:rPr>
          <w:rFonts w:ascii="宋体" w:hAnsi="宋体" w:eastAsia="宋体" w:cs="Arial"/>
          <w:color w:val="1F2329"/>
          <w:kern w:val="0"/>
          <w:szCs w:val="21"/>
        </w:rPr>
      </w:pPr>
      <w:r>
        <w:rPr>
          <w:rFonts w:ascii="宋体" w:hAnsi="宋体" w:eastAsia="宋体" w:cs="Arial"/>
          <w:color w:val="1F2329"/>
          <w:kern w:val="0"/>
          <w:szCs w:val="21"/>
        </w:rPr>
        <w:t>样本外（检验期）：2022-01-01 → 2023-12-31</w:t>
      </w:r>
    </w:p>
    <w:p w14:paraId="6BD32BC2">
      <w:pPr>
        <w:widowControl/>
        <w:numPr>
          <w:ilvl w:val="0"/>
          <w:numId w:val="1"/>
        </w:numPr>
        <w:spacing w:line="360" w:lineRule="atLeast"/>
        <w:jc w:val="left"/>
        <w:rPr>
          <w:rFonts w:ascii="宋体" w:hAnsi="宋体" w:eastAsia="宋体" w:cs="Arial"/>
          <w:color w:val="1F2329"/>
          <w:kern w:val="0"/>
          <w:szCs w:val="21"/>
        </w:rPr>
      </w:pPr>
      <w:r>
        <w:rPr>
          <w:rFonts w:ascii="宋体" w:hAnsi="宋体" w:eastAsia="宋体" w:cs="Arial"/>
          <w:color w:val="1F2329"/>
          <w:kern w:val="0"/>
          <w:szCs w:val="21"/>
        </w:rPr>
        <w:t>市场基准：沪深 300 指数</w:t>
      </w:r>
    </w:p>
    <w:p w14:paraId="1F428F97">
      <w:pPr>
        <w:widowControl/>
        <w:numPr>
          <w:ilvl w:val="0"/>
          <w:numId w:val="1"/>
        </w:numPr>
        <w:spacing w:line="360" w:lineRule="atLeast"/>
        <w:jc w:val="left"/>
        <w:rPr>
          <w:rFonts w:ascii="宋体" w:hAnsi="宋体" w:eastAsia="宋体" w:cs="Arial"/>
          <w:color w:val="1F2329"/>
          <w:kern w:val="0"/>
          <w:szCs w:val="21"/>
        </w:rPr>
      </w:pPr>
      <w:r>
        <w:rPr>
          <w:rFonts w:ascii="宋体" w:hAnsi="宋体" w:eastAsia="宋体" w:cs="Arial"/>
          <w:color w:val="1F2329"/>
          <w:kern w:val="0"/>
          <w:szCs w:val="21"/>
        </w:rPr>
        <w:t>无风险利率：日度无风险利率（年化 1.5%）</w:t>
      </w:r>
    </w:p>
    <w:p w14:paraId="11BCA0CE">
      <w:pPr>
        <w:rPr>
          <w:rFonts w:ascii="宋体" w:hAnsi="宋体" w:eastAsia="宋体"/>
          <w:szCs w:val="21"/>
        </w:rPr>
      </w:pPr>
    </w:p>
    <w:p w14:paraId="0E3DB6BE">
      <w:pPr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四、实验步骤：</w:t>
      </w:r>
    </w:p>
    <w:p w14:paraId="10DB1B2E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1.</w:t>
      </w:r>
      <w:r>
        <w:rPr>
          <w:rFonts w:ascii="宋体" w:hAnsi="宋体" w:eastAsia="宋体"/>
          <w:szCs w:val="21"/>
        </w:rPr>
        <w:t xml:space="preserve"> Code</w:t>
      </w:r>
      <w:r>
        <w:rPr>
          <w:rFonts w:hint="eastAsia" w:ascii="宋体" w:hAnsi="宋体" w:eastAsia="宋体"/>
          <w:szCs w:val="21"/>
        </w:rPr>
        <w:t>b</w:t>
      </w:r>
      <w:r>
        <w:rPr>
          <w:rFonts w:ascii="宋体" w:hAnsi="宋体" w:eastAsia="宋体"/>
          <w:szCs w:val="21"/>
        </w:rPr>
        <w:t>uddy</w:t>
      </w:r>
      <w:r>
        <w:rPr>
          <w:rFonts w:hint="eastAsia" w:ascii="宋体" w:hAnsi="宋体" w:eastAsia="宋体"/>
          <w:szCs w:val="21"/>
        </w:rPr>
        <w:t>的引入说明：</w:t>
      </w:r>
    </w:p>
    <w:p w14:paraId="3FB927B8">
      <w:pPr>
        <w:ind w:firstLine="420" w:firstLineChars="2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前面CAPM、二因子、四因子模型，我们已经完整手动编程实践过，大家已经掌握了因子模型的底层代码能力。</w:t>
      </w:r>
    </w:p>
    <w:p w14:paraId="6443EF8E">
      <w:pPr>
        <w:ind w:firstLine="420" w:firstLineChars="2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而行业真实场景中，所有量化/数据岗，现在都用 AI 辅助写代码，不管是：互联网数据分析师，量化研究员，大数据开发，金融科技工程师，几乎没人从头写代码，全部用：</w:t>
      </w:r>
      <w:r>
        <w:rPr>
          <w:rFonts w:ascii="宋体" w:hAnsi="宋体" w:eastAsia="宋体"/>
          <w:szCs w:val="21"/>
        </w:rPr>
        <w:t>CodeBuddy</w:t>
      </w:r>
      <w:r>
        <w:rPr>
          <w:rFonts w:hint="eastAsia" w:ascii="宋体" w:hAnsi="宋体" w:eastAsia="宋体"/>
          <w:szCs w:val="21"/>
        </w:rPr>
        <w:t>，</w:t>
      </w:r>
      <w:r>
        <w:rPr>
          <w:rFonts w:ascii="宋体" w:hAnsi="宋体" w:eastAsia="宋体"/>
          <w:szCs w:val="21"/>
        </w:rPr>
        <w:t>GitHub Copilot</w:t>
      </w:r>
      <w:r>
        <w:rPr>
          <w:rFonts w:hint="eastAsia" w:ascii="宋体" w:hAnsi="宋体" w:eastAsia="宋体"/>
          <w:szCs w:val="21"/>
        </w:rPr>
        <w:t>，豆包 / 文心一言生成代码。</w:t>
      </w:r>
    </w:p>
    <w:p w14:paraId="68FF7D20">
      <w:pPr>
        <w:ind w:firstLine="420" w:firstLineChars="2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因此，从今天这次作业（Alpha持续性）开始，我们进入“高阶实证分析阶段”，不再把时间浪费在重复、机械的代码编写上，而是专注于：模型理解、结果解读、逻辑分析、金融意义。所以，从现在开始，所有基础代码、数据处理、绘图，都可以直接用 CodeBuddy 生成，你们只需要：理解任务，修改参数，读懂程序，看懂结果，完成分析。</w:t>
      </w:r>
    </w:p>
    <w:p w14:paraId="778DA65B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2</w:t>
      </w:r>
      <w:r>
        <w:rPr>
          <w:rFonts w:hint="eastAsia" w:ascii="宋体" w:hAnsi="宋体" w:eastAsia="宋体"/>
          <w:szCs w:val="21"/>
        </w:rPr>
        <w:t>.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步骤（直接复制 AI 指令生成代码）</w:t>
      </w:r>
    </w:p>
    <w:p w14:paraId="1033E32D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打开 AI 工具（CodeBuddy/Copilot/ 豆包），粘贴以下指令：</w:t>
      </w:r>
    </w:p>
    <w:p w14:paraId="319F0167">
      <w:pPr>
        <w:rPr>
          <w:rFonts w:ascii="宋体" w:hAnsi="宋体" w:eastAsia="宋体"/>
          <w:b/>
          <w:bCs/>
          <w:i/>
          <w:iCs/>
          <w:szCs w:val="21"/>
        </w:rPr>
      </w:pPr>
      <w:r>
        <w:rPr>
          <w:rFonts w:ascii="宋体" w:hAnsi="宋体" w:eastAsia="宋体"/>
          <w:szCs w:val="21"/>
        </w:rPr>
        <w:t>“</w:t>
      </w:r>
      <w:r>
        <w:rPr>
          <w:rFonts w:hint="eastAsia" w:ascii="宋体" w:hAnsi="宋体" w:eastAsia="宋体"/>
          <w:b/>
          <w:bCs/>
          <w:i/>
          <w:iCs/>
          <w:szCs w:val="21"/>
        </w:rPr>
        <w:t>请生成完整 Python 代码：</w:t>
      </w:r>
    </w:p>
    <w:p w14:paraId="3C058DE8">
      <w:pPr>
        <w:rPr>
          <w:rFonts w:ascii="宋体" w:hAnsi="宋体" w:eastAsia="宋体"/>
          <w:b/>
          <w:bCs/>
          <w:i/>
          <w:iCs/>
          <w:szCs w:val="21"/>
        </w:rPr>
      </w:pPr>
      <w:r>
        <w:rPr>
          <w:rFonts w:hint="eastAsia" w:ascii="宋体" w:hAnsi="宋体" w:eastAsia="宋体"/>
          <w:b/>
          <w:bCs/>
          <w:i/>
          <w:iCs/>
          <w:szCs w:val="21"/>
        </w:rPr>
        <w:t>1）从文件中读取上证5</w:t>
      </w:r>
      <w:r>
        <w:rPr>
          <w:rFonts w:ascii="宋体" w:hAnsi="宋体" w:eastAsia="宋体"/>
          <w:b/>
          <w:bCs/>
          <w:i/>
          <w:iCs/>
          <w:szCs w:val="21"/>
        </w:rPr>
        <w:t>0</w:t>
      </w:r>
      <w:r>
        <w:rPr>
          <w:rFonts w:hint="eastAsia" w:ascii="宋体" w:hAnsi="宋体" w:eastAsia="宋体"/>
          <w:b/>
          <w:bCs/>
          <w:i/>
          <w:iCs/>
          <w:szCs w:val="21"/>
        </w:rPr>
        <w:t xml:space="preserve"> 成分股 201</w:t>
      </w:r>
      <w:r>
        <w:rPr>
          <w:rFonts w:ascii="宋体" w:hAnsi="宋体" w:eastAsia="宋体"/>
          <w:b/>
          <w:bCs/>
          <w:i/>
          <w:iCs/>
          <w:szCs w:val="21"/>
        </w:rPr>
        <w:t>9</w:t>
      </w:r>
      <w:r>
        <w:rPr>
          <w:rFonts w:hint="eastAsia" w:ascii="宋体" w:hAnsi="宋体" w:eastAsia="宋体"/>
          <w:b/>
          <w:bCs/>
          <w:i/>
          <w:iCs/>
          <w:szCs w:val="21"/>
        </w:rPr>
        <w:t>-202</w:t>
      </w:r>
      <w:r>
        <w:rPr>
          <w:rFonts w:ascii="宋体" w:hAnsi="宋体" w:eastAsia="宋体"/>
          <w:b/>
          <w:bCs/>
          <w:i/>
          <w:iCs/>
          <w:szCs w:val="21"/>
        </w:rPr>
        <w:t>5</w:t>
      </w:r>
      <w:r>
        <w:rPr>
          <w:rFonts w:hint="eastAsia" w:ascii="宋体" w:hAnsi="宋体" w:eastAsia="宋体"/>
          <w:b/>
          <w:bCs/>
          <w:i/>
          <w:iCs/>
          <w:szCs w:val="21"/>
        </w:rPr>
        <w:t xml:space="preserve"> 年日度收盘价数据；</w:t>
      </w:r>
    </w:p>
    <w:p w14:paraId="3C21CDAE">
      <w:pPr>
        <w:rPr>
          <w:rFonts w:ascii="宋体" w:hAnsi="宋体" w:eastAsia="宋体"/>
          <w:b/>
          <w:bCs/>
          <w:i/>
          <w:iCs/>
          <w:szCs w:val="21"/>
        </w:rPr>
      </w:pPr>
      <w:r>
        <w:rPr>
          <w:rFonts w:hint="eastAsia" w:ascii="宋体" w:hAnsi="宋体" w:eastAsia="宋体"/>
          <w:b/>
          <w:bCs/>
          <w:i/>
          <w:iCs/>
          <w:szCs w:val="21"/>
        </w:rPr>
        <w:t>2）计算2</w:t>
      </w:r>
      <w:r>
        <w:rPr>
          <w:rFonts w:ascii="宋体" w:hAnsi="宋体" w:eastAsia="宋体"/>
          <w:b/>
          <w:bCs/>
          <w:i/>
          <w:iCs/>
          <w:szCs w:val="21"/>
        </w:rPr>
        <w:t>019</w:t>
      </w:r>
      <w:r>
        <w:rPr>
          <w:rFonts w:hint="eastAsia" w:ascii="宋体" w:hAnsi="宋体" w:eastAsia="宋体"/>
          <w:b/>
          <w:bCs/>
          <w:i/>
          <w:iCs/>
          <w:szCs w:val="21"/>
        </w:rPr>
        <w:t>-</w:t>
      </w:r>
      <w:r>
        <w:rPr>
          <w:rFonts w:ascii="宋体" w:hAnsi="宋体" w:eastAsia="宋体"/>
          <w:b/>
          <w:bCs/>
          <w:i/>
          <w:iCs/>
          <w:szCs w:val="21"/>
        </w:rPr>
        <w:t>2021</w:t>
      </w:r>
      <w:r>
        <w:rPr>
          <w:rFonts w:hint="eastAsia" w:ascii="宋体" w:hAnsi="宋体" w:eastAsia="宋体"/>
          <w:b/>
          <w:bCs/>
          <w:i/>
          <w:iCs/>
          <w:szCs w:val="21"/>
        </w:rPr>
        <w:t>每只股票的 CAPM 模型 alpha（以沪深3</w:t>
      </w:r>
      <w:r>
        <w:rPr>
          <w:rFonts w:ascii="宋体" w:hAnsi="宋体" w:eastAsia="宋体"/>
          <w:b/>
          <w:bCs/>
          <w:i/>
          <w:iCs/>
          <w:szCs w:val="21"/>
        </w:rPr>
        <w:t>00</w:t>
      </w:r>
      <w:r>
        <w:rPr>
          <w:rFonts w:hint="eastAsia" w:ascii="宋体" w:hAnsi="宋体" w:eastAsia="宋体"/>
          <w:b/>
          <w:bCs/>
          <w:i/>
          <w:iCs/>
          <w:szCs w:val="21"/>
        </w:rPr>
        <w:t>指数为市场收益）；</w:t>
      </w:r>
    </w:p>
    <w:p w14:paraId="77DC623A">
      <w:pPr>
        <w:rPr>
          <w:rFonts w:ascii="宋体" w:hAnsi="宋体" w:eastAsia="宋体"/>
          <w:b/>
          <w:bCs/>
          <w:i/>
          <w:iCs/>
          <w:szCs w:val="21"/>
        </w:rPr>
      </w:pPr>
      <w:r>
        <w:rPr>
          <w:rFonts w:hint="eastAsia" w:ascii="宋体" w:hAnsi="宋体" w:eastAsia="宋体"/>
          <w:b/>
          <w:bCs/>
          <w:i/>
          <w:iCs/>
          <w:szCs w:val="21"/>
        </w:rPr>
        <w:t>3）按 alpha 从高到低分组，取 Top</w:t>
      </w:r>
      <w:r>
        <w:rPr>
          <w:rFonts w:ascii="宋体" w:hAnsi="宋体" w:eastAsia="宋体"/>
          <w:b/>
          <w:bCs/>
          <w:i/>
          <w:iCs/>
          <w:szCs w:val="21"/>
        </w:rPr>
        <w:t>2</w:t>
      </w:r>
      <w:r>
        <w:rPr>
          <w:rFonts w:hint="eastAsia" w:ascii="宋体" w:hAnsi="宋体" w:eastAsia="宋体"/>
          <w:b/>
          <w:bCs/>
          <w:i/>
          <w:iCs/>
          <w:szCs w:val="21"/>
        </w:rPr>
        <w:t>0 高 alpha 股票；</w:t>
      </w:r>
    </w:p>
    <w:p w14:paraId="5CB138FD">
      <w:pPr>
        <w:rPr>
          <w:rFonts w:ascii="宋体" w:hAnsi="宋体" w:eastAsia="宋体"/>
          <w:b/>
          <w:bCs/>
          <w:i/>
          <w:iCs/>
          <w:szCs w:val="21"/>
        </w:rPr>
      </w:pPr>
      <w:r>
        <w:rPr>
          <w:rFonts w:hint="eastAsia" w:ascii="宋体" w:hAnsi="宋体" w:eastAsia="宋体"/>
          <w:b/>
          <w:bCs/>
          <w:i/>
          <w:iCs/>
          <w:szCs w:val="21"/>
        </w:rPr>
        <w:t>4）再计算</w:t>
      </w:r>
      <w:r>
        <w:rPr>
          <w:rFonts w:hint="eastAsia" w:ascii="宋体" w:hAnsi="宋体" w:eastAsia="宋体"/>
          <w:b/>
          <w:bCs/>
          <w:i/>
          <w:iCs/>
          <w:szCs w:val="21"/>
          <w:lang w:val="en-US" w:eastAsia="zh-CN"/>
        </w:rPr>
        <w:t>同样上证50成分</w:t>
      </w:r>
      <w:bookmarkStart w:id="0" w:name="_GoBack"/>
      <w:bookmarkEnd w:id="0"/>
      <w:r>
        <w:rPr>
          <w:rFonts w:hint="eastAsia" w:ascii="宋体" w:hAnsi="宋体" w:eastAsia="宋体"/>
          <w:b/>
          <w:bCs/>
          <w:i/>
          <w:iCs/>
          <w:szCs w:val="21"/>
        </w:rPr>
        <w:t>股票 202</w:t>
      </w:r>
      <w:r>
        <w:rPr>
          <w:rFonts w:ascii="宋体" w:hAnsi="宋体" w:eastAsia="宋体"/>
          <w:b/>
          <w:bCs/>
          <w:i/>
          <w:iCs/>
          <w:szCs w:val="21"/>
        </w:rPr>
        <w:t>2</w:t>
      </w:r>
      <w:r>
        <w:rPr>
          <w:rFonts w:hint="eastAsia" w:ascii="宋体" w:hAnsi="宋体" w:eastAsia="宋体"/>
          <w:b/>
          <w:bCs/>
          <w:i/>
          <w:iCs/>
          <w:szCs w:val="21"/>
        </w:rPr>
        <w:t>-202</w:t>
      </w:r>
      <w:r>
        <w:rPr>
          <w:rFonts w:ascii="宋体" w:hAnsi="宋体" w:eastAsia="宋体"/>
          <w:b/>
          <w:bCs/>
          <w:i/>
          <w:iCs/>
          <w:szCs w:val="21"/>
        </w:rPr>
        <w:t>4</w:t>
      </w:r>
      <w:r>
        <w:rPr>
          <w:rFonts w:hint="eastAsia" w:ascii="宋体" w:hAnsi="宋体" w:eastAsia="宋体"/>
          <w:b/>
          <w:bCs/>
          <w:i/>
          <w:iCs/>
          <w:szCs w:val="21"/>
        </w:rPr>
        <w:t xml:space="preserve"> 年的 CAPM alpha；</w:t>
      </w:r>
    </w:p>
    <w:p w14:paraId="15E42DBC">
      <w:pPr>
        <w:rPr>
          <w:rFonts w:ascii="宋体" w:hAnsi="宋体" w:eastAsia="宋体"/>
          <w:b/>
          <w:bCs/>
          <w:i/>
          <w:iCs/>
          <w:szCs w:val="21"/>
        </w:rPr>
      </w:pPr>
      <w:r>
        <w:rPr>
          <w:rFonts w:hint="eastAsia" w:ascii="宋体" w:hAnsi="宋体" w:eastAsia="宋体"/>
          <w:b/>
          <w:bCs/>
          <w:i/>
          <w:iCs/>
          <w:szCs w:val="21"/>
        </w:rPr>
        <w:t>5）对比前后两期 alpha，计算重合度，A</w:t>
      </w:r>
      <w:r>
        <w:rPr>
          <w:rFonts w:ascii="宋体" w:hAnsi="宋体" w:eastAsia="宋体"/>
          <w:b/>
          <w:bCs/>
          <w:i/>
          <w:iCs/>
          <w:szCs w:val="21"/>
        </w:rPr>
        <w:t>lpha</w:t>
      </w:r>
      <w:r>
        <w:rPr>
          <w:rFonts w:hint="eastAsia" w:ascii="宋体" w:hAnsi="宋体" w:eastAsia="宋体"/>
          <w:b/>
          <w:bCs/>
          <w:i/>
          <w:iCs/>
          <w:szCs w:val="21"/>
        </w:rPr>
        <w:t>均值变化；</w:t>
      </w:r>
    </w:p>
    <w:p w14:paraId="6DBB4762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  <w:bCs/>
          <w:i/>
          <w:iCs/>
          <w:szCs w:val="21"/>
        </w:rPr>
        <w:t>6）画图：A</w:t>
      </w:r>
      <w:r>
        <w:rPr>
          <w:rFonts w:ascii="宋体" w:hAnsi="宋体" w:eastAsia="宋体"/>
          <w:b/>
          <w:bCs/>
          <w:i/>
          <w:iCs/>
          <w:szCs w:val="21"/>
        </w:rPr>
        <w:t>lpha</w:t>
      </w:r>
      <w:r>
        <w:rPr>
          <w:rFonts w:hint="eastAsia" w:ascii="宋体" w:hAnsi="宋体" w:eastAsia="宋体"/>
          <w:b/>
          <w:bCs/>
          <w:i/>
          <w:iCs/>
          <w:szCs w:val="21"/>
        </w:rPr>
        <w:t>对比图，重合度图；输出结果表格与结论。</w:t>
      </w:r>
      <w:r>
        <w:rPr>
          <w:rFonts w:ascii="宋体" w:hAnsi="宋体" w:eastAsia="宋体"/>
          <w:szCs w:val="21"/>
        </w:rPr>
        <w:t>”</w:t>
      </w:r>
    </w:p>
    <w:p w14:paraId="44AE5C62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运行 AI 给出的代码，得到结果</w:t>
      </w:r>
    </w:p>
    <w:p w14:paraId="5F6E97D2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完成分析，写简短报告</w:t>
      </w:r>
    </w:p>
    <w:p w14:paraId="4B17379E">
      <w:pPr>
        <w:rPr>
          <w:rFonts w:ascii="宋体" w:hAnsi="宋体" w:eastAsia="宋体"/>
          <w:szCs w:val="21"/>
        </w:rPr>
      </w:pPr>
    </w:p>
    <w:p w14:paraId="40F90C32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3、人工必须回答的思考问题</w:t>
      </w:r>
    </w:p>
    <w:p w14:paraId="2D55B3B4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前期高 Alpha 组合，在后期 Alpha 上升/下降/不变？</w:t>
      </w:r>
    </w:p>
    <w:p w14:paraId="4BDBDC8D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从结果看，Alpha 是否具有持续性？</w:t>
      </w:r>
    </w:p>
    <w:p w14:paraId="4CA8F719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用金融学逻辑解释：为什么会出现这种现象？如何避免？</w:t>
      </w:r>
    </w:p>
    <w:p w14:paraId="55E066D9">
      <w:pPr>
        <w:rPr>
          <w:rFonts w:ascii="宋体" w:hAnsi="宋体" w:eastAsia="宋体"/>
          <w:b/>
          <w:bCs/>
          <w:szCs w:val="21"/>
        </w:rPr>
      </w:pPr>
    </w:p>
    <w:p w14:paraId="091C46D0">
      <w:pPr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五、提交内容</w:t>
      </w:r>
    </w:p>
    <w:p w14:paraId="3B379C34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1.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学习通上传PPT附件 + CodeBuddy生成并修改后的代码正文/附件（代码需可直接运行，标注关键修改点）；</w:t>
      </w:r>
    </w:p>
    <w:p w14:paraId="69B4CCE9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2.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结合数据分析及回测结果，提前思考核心结论，准备课堂展示（每人展示5-8分钟）及小组讨论，重点分享思考问题得答案，以及可能的应对方案。模型拟合差异、回测效果及改进方向（无需讲解复杂编程逻辑，聚焦原理与分析）。</w:t>
      </w:r>
    </w:p>
    <w:p w14:paraId="45B94650">
      <w:pPr>
        <w:rPr>
          <w:rFonts w:ascii="宋体" w:hAnsi="宋体" w:eastAsia="宋体"/>
          <w:szCs w:val="21"/>
        </w:rPr>
      </w:pPr>
    </w:p>
    <w:p w14:paraId="1A339F44">
      <w:pPr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六、评分标准</w:t>
      </w:r>
    </w:p>
    <w:p w14:paraId="4971C53A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代码可正常运行（30 分）</w:t>
      </w:r>
    </w:p>
    <w:p w14:paraId="2CA80D86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实证结果正确（20 分）</w:t>
      </w:r>
    </w:p>
    <w:p w14:paraId="461BA426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分析逻辑合理（30 分）</w:t>
      </w:r>
    </w:p>
    <w:p w14:paraId="04121D28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文档格式规范（20 分）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D765B6"/>
    <w:multiLevelType w:val="multilevel"/>
    <w:tmpl w:val="1ED765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c5MmFjMTAwOGUyYjBmYTU3MzEzMjY3MzZlNGYxZGYifQ=="/>
    <w:docVar w:name="KSO_WPS_MARK_KEY" w:val="bf2f06a8-723b-48bc-8c60-f5785284de3e"/>
  </w:docVars>
  <w:rsids>
    <w:rsidRoot w:val="00584D98"/>
    <w:rsid w:val="0013597F"/>
    <w:rsid w:val="00165A09"/>
    <w:rsid w:val="00207681"/>
    <w:rsid w:val="00250F89"/>
    <w:rsid w:val="002C3ABE"/>
    <w:rsid w:val="004C4E80"/>
    <w:rsid w:val="00584D98"/>
    <w:rsid w:val="005E4D16"/>
    <w:rsid w:val="005F1C3D"/>
    <w:rsid w:val="0068478A"/>
    <w:rsid w:val="006A420E"/>
    <w:rsid w:val="006D193C"/>
    <w:rsid w:val="00723C20"/>
    <w:rsid w:val="0073007B"/>
    <w:rsid w:val="007914C0"/>
    <w:rsid w:val="007C71CB"/>
    <w:rsid w:val="007E48F5"/>
    <w:rsid w:val="00867F4A"/>
    <w:rsid w:val="00A415E5"/>
    <w:rsid w:val="00BD68C5"/>
    <w:rsid w:val="00C71CF5"/>
    <w:rsid w:val="00D66D74"/>
    <w:rsid w:val="00E621BC"/>
    <w:rsid w:val="028F1F31"/>
    <w:rsid w:val="02FB1CE4"/>
    <w:rsid w:val="15E00E91"/>
    <w:rsid w:val="272F0F6A"/>
    <w:rsid w:val="33DF25E3"/>
    <w:rsid w:val="40750241"/>
    <w:rsid w:val="4E43785D"/>
    <w:rsid w:val="4E487554"/>
    <w:rsid w:val="65232277"/>
    <w:rsid w:val="6B6A6E0E"/>
    <w:rsid w:val="77816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link w:val="1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Strong"/>
    <w:basedOn w:val="7"/>
    <w:qFormat/>
    <w:uiPriority w:val="22"/>
    <w:rPr>
      <w:b/>
      <w:bCs/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HTML 预设格式 字符"/>
    <w:basedOn w:val="7"/>
    <w:link w:val="5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2">
    <w:name w:val="标题 2 字符"/>
    <w:basedOn w:val="7"/>
    <w:link w:val="2"/>
    <w:uiPriority w:val="9"/>
    <w:rPr>
      <w:rFonts w:ascii="宋体" w:hAnsi="宋体" w:eastAsia="宋体" w:cs="宋体"/>
      <w:b/>
      <w:bCs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1176</Words>
  <Characters>1484</Characters>
  <Lines>11</Lines>
  <Paragraphs>3</Paragraphs>
  <TotalTime>13</TotalTime>
  <ScaleCrop>false</ScaleCrop>
  <LinksUpToDate>false</LinksUpToDate>
  <CharactersWithSpaces>1579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2026-04-15T06:35:00Z</dcterms:created>
  <dc:creator>Bradley</dc:creator>
  <cp:lastModifiedBy>西岭云</cp:lastModifiedBy>
  <cp:lastPrinted>2021-04-02T01:37:00Z</cp:lastPrinted>
  <dcterms:modified xsi:type="dcterms:W3CDTF">2026-06-09T06:55:09Z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73BC29FB3FD04B15B919826B07C3C89B</vt:lpwstr>
  </property>
  <property fmtid="{D5CDD505-2E9C-101B-9397-08002B2CF9AE}" pid="4" name="KSOTemplateDocerSaveRecord">
    <vt:lpwstr>eyJoZGlkIjoiNWYwYjQ2NWVhN2MwZmI3NmQzNTU4MzRmZjU1OGFhZjAiLCJ1c2VySWQiOiIzMDI3MzY4MjkifQ==</vt:lpwstr>
  </property>
</Properties>
</file>