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6D28D9" w:sz="18" w:space="6"/>
        </w:pBdr>
        <w:spacing w:after="40"/>
      </w:pPr>
      <w:r>
        <w:rPr>
          <w:rFonts w:ascii="Arial" w:cs="Arial" w:eastAsia="Arial" w:hAnsi="Arial"/>
          <w:b/>
          <w:bCs/>
          <w:color w:val="6D28D9"/>
          <w:sz w:val="44"/>
          <w:szCs w:val="44"/>
        </w:rPr>
        <w:t xml:space="preserve">Maios Shop</w:t>
      </w:r>
    </w:p>
    <w:p>
      <w:pPr>
        <w:spacing w:after="40"/>
      </w:pPr>
      <w:r>
        <w:rPr>
          <w:rFonts w:ascii="Arial" w:cs="Arial" w:eastAsia="Arial" w:hAnsi="Arial"/>
          <w:b/>
          <w:bCs/>
          <w:sz w:val="30"/>
          <w:szCs w:val="30"/>
        </w:rPr>
        <w:t xml:space="preserve">Statusbericht &amp; Strategie</w:t>
      </w:r>
    </w:p>
    <w:p>
      <w:pPr>
        <w:spacing w:after="200"/>
      </w:pPr>
      <w:r>
        <w:rPr>
          <w:rFonts w:ascii="Arial" w:cs="Arial" w:eastAsia="Arial" w:hAnsi="Arial"/>
          <w:color w:val="6B7280"/>
          <w:sz w:val="20"/>
          <w:szCs w:val="20"/>
        </w:rPr>
        <w:t xml:space="preserve">Entwicklungs-Sprint 18.–24. Juni 2026 · Ausblick &amp; Erfolgsstrategie</w:t>
      </w:r>
    </w:p>
    <w:p>
      <w:pPr>
        <w:spacing w:after="120" w:line="264"/>
      </w:pPr>
      <w:r>
        <w:rPr>
          <w:rFonts w:ascii="Arial" w:cs="Arial" w:eastAsia="Arial" w:hAnsi="Arial"/>
          <w:b/>
          <w:bCs/>
        </w:rPr>
        <w:t xml:space="preserve">Stand: </w:t>
      </w:r>
      <w:r>
        <w:rPr>
          <w:rFonts w:ascii="Arial" w:cs="Arial" w:eastAsia="Arial" w:hAnsi="Arial"/>
        </w:rPr>
        <w:t xml:space="preserve">24. Juni 2026    </w:t>
      </w:r>
      <w:r>
        <w:rPr>
          <w:rFonts w:ascii="Arial" w:cs="Arial" w:eastAsia="Arial" w:hAnsi="Arial"/>
          <w:b/>
          <w:bCs/>
        </w:rPr>
        <w:t xml:space="preserve">Live: </w:t>
      </w:r>
      <w:r>
        <w:rPr>
          <w:rFonts w:ascii="Arial" w:cs="Arial" w:eastAsia="Arial" w:hAnsi="Arial"/>
        </w:rPr>
        <w:t xml:space="preserve">maiosshop.com</w:t>
      </w:r>
      <w:r>
        <w:rPr>
          <w:rFonts w:ascii="Arial" w:cs="Arial" w:eastAsia="Arial" w:hAnsi="Arial"/>
          <w:b/>
          <w:bCs/>
        </w:rPr>
        <w:t xml:space="preserve">    Hosting: </w:t>
      </w:r>
      <w:r>
        <w:rPr>
          <w:rFonts w:ascii="Arial" w:cs="Arial" w:eastAsia="Arial" w:hAnsi="Arial"/>
        </w:rPr>
        <w:t xml:space="preserve">Render (Free) + Neon-Postgres</w:t>
      </w:r>
      <w:r>
        <w:rPr>
          <w:rFonts w:ascii="Arial" w:cs="Arial" w:eastAsia="Arial" w:hAnsi="Arial"/>
          <w:b/>
          <w:bCs/>
        </w:rPr>
        <w:t xml:space="preserve">    Repo: </w:t>
      </w:r>
      <w:r>
        <w:rPr>
          <w:rFonts w:ascii="Arial" w:cs="Arial" w:eastAsia="Arial" w:hAnsi="Arial"/>
        </w:rPr>
        <w:t xml:space="preserve">Nevio83/test2 (main, Auto-Deploy)</w:t>
      </w:r>
    </w:p>
    <w:p>
      <w:pPr>
        <w:pStyle w:val="Heading1"/>
        <w:spacing w:after="140" w:before="280"/>
      </w:pPr>
      <w:r>
        <w:rPr>
          <w:rFonts w:ascii="Arial" w:cs="Arial" w:eastAsia="Arial" w:hAnsi="Arial"/>
        </w:rPr>
        <w:t xml:space="preserve">1. Zusammenfassung</w:t>
      </w:r>
    </w:p>
    <w:p>
      <w:pPr>
        <w:spacing w:after="120" w:line="264"/>
      </w:pPr>
      <w:r>
        <w:rPr>
          <w:rFonts w:ascii="Arial" w:cs="Arial" w:eastAsia="Arial" w:hAnsi="Arial"/>
        </w:rPr>
        <w:t xml:space="preserve">In einer einzigen, sehr intensiven Woche (rund 60 Deploys zwischen dem 18. und 24. Juni 2026) hat sich Maios von einem Entwicklungs-Projekt zu einem voll funktionsfähigen, rechtssicheren Online-Shop entwickelt. Zahlung (Stripe), automatische Lieferantenbestellung (CJ Dropshipping), rechtskonforme Belege, DSGVO-Bausteine, ein Newsletter mit Double-Opt-In sowie ein aggregiertes Marktforschungs-Dashboard sind live. Zuletzt wurden die Preise auf eine gesunde Marge gebracht und über alle Stellen hinweg konsistent gemacht.</w:t>
      </w:r>
    </w:p>
    <w:p>
      <w:pPr>
        <w:spacing w:after="120" w:line="264"/>
      </w:pPr>
      <w:r>
        <w:rPr>
          <w:rFonts w:ascii="Arial" w:cs="Arial" w:eastAsia="Arial" w:hAnsi="Arial"/>
        </w:rPr>
        <w:t xml:space="preserve">Damit ist die Bau-Phase im Kern abgeschlossen. Der nächste Hebel ist nicht mehr Technik, sondern Wachstum: qualifizierte Besucher auf den Shop bringen, sie zuverlässig in Käufer verwandeln und über Newsletter und gute Produkte binden. Dieser Bericht fasst zusammen, was passiert ist, benennt die nächsten Ziele und gibt konkrete Verbesserungs- und Erfolgsvorschläge.</w:t>
      </w:r>
    </w:p>
    <w:p>
      <w:pPr>
        <w:pStyle w:val="Heading1"/>
        <w:spacing w:after="140" w:before="280"/>
      </w:pPr>
      <w:r>
        <w:rPr>
          <w:rFonts w:ascii="Arial" w:cs="Arial" w:eastAsia="Arial" w:hAnsi="Arial"/>
        </w:rPr>
        <w:t xml:space="preserve">2. Was in den letzten Tagen passiert ist (Deploys)</w:t>
      </w:r>
    </w:p>
    <w:p>
      <w:pPr>
        <w:spacing w:after="120" w:line="264"/>
      </w:pPr>
      <w:r>
        <w:rPr>
          <w:rFonts w:ascii="Arial" w:cs="Arial" w:eastAsia="Arial" w:hAnsi="Arial"/>
        </w:rPr>
        <w:t xml:space="preserve">Render deployt automatisch bei jedem Push auf den main-Branch. Die folgende Übersicht zeigt die Schwerpunkte je Tag; insgesamt rund 60 Deploys in sieben Tagen.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526"/>
        <w:gridCol w:w="1400"/>
      </w:tblGrid>
      <w:tr>
        <w:trPr>
          <w:tblHeader/>
        </w:trPr>
        <w:tc>
          <w:tcPr>
            <w:tcW w:type="dxa" w:w="1100"/>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left"/>
            </w:pPr>
            <w:r>
              <w:rPr>
                <w:rFonts w:ascii="Arial" w:cs="Arial" w:eastAsia="Arial" w:hAnsi="Arial"/>
                <w:b/>
                <w:bCs/>
                <w:color w:val="FFFFFF"/>
              </w:rPr>
              <w:t xml:space="preserve">Tag</w:t>
            </w:r>
          </w:p>
        </w:tc>
        <w:tc>
          <w:tcPr>
            <w:tcW w:type="dxa" w:w="6526"/>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left"/>
            </w:pPr>
            <w:r>
              <w:rPr>
                <w:rFonts w:ascii="Arial" w:cs="Arial" w:eastAsia="Arial" w:hAnsi="Arial"/>
                <w:b/>
                <w:bCs/>
                <w:color w:val="FFFFFF"/>
              </w:rPr>
              <w:t xml:space="preserve">Schwerpunkt</w:t>
            </w:r>
          </w:p>
        </w:tc>
        <w:tc>
          <w:tcPr>
            <w:tcW w:type="dxa" w:w="1400"/>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left"/>
            </w:pPr>
            <w:r>
              <w:rPr>
                <w:rFonts w:ascii="Arial" w:cs="Arial" w:eastAsia="Arial" w:hAnsi="Arial"/>
                <w:b/>
                <w:bCs/>
                <w:color w:val="FFFFFF"/>
              </w:rPr>
              <w:t xml:space="preserve">Deploys</w:t>
            </w:r>
          </w:p>
        </w:tc>
      </w:tr>
      <w:tr>
        <w:tc>
          <w:tcPr>
            <w:tcW w:type="dxa" w:w="11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18.06.</w:t>
            </w:r>
          </w:p>
        </w:tc>
        <w:tc>
          <w:tcPr>
            <w:tcW w:type="dxa" w:w="65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Letzter Einzel-Fix vor dem Sprint</w:t>
            </w:r>
          </w:p>
        </w:tc>
        <w:tc>
          <w:tcPr>
            <w:tcW w:type="dxa" w:w="14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1</w:t>
            </w:r>
          </w:p>
        </w:tc>
      </w:tr>
      <w:tr>
        <w:tc>
          <w:tcPr>
            <w:tcW w:type="dxa" w:w="11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19.06.</w:t>
            </w:r>
          </w:p>
        </w:tc>
        <w:tc>
          <w:tcPr>
            <w:tcW w:type="dxa" w:w="65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Postgres-Datenbank + Admin-Panel, Umzug auf Render-Free, Security-Härtung, Aufrufe-Tracking</w:t>
            </w:r>
          </w:p>
        </w:tc>
        <w:tc>
          <w:tcPr>
            <w:tcW w:type="dxa" w:w="14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14</w:t>
            </w:r>
          </w:p>
        </w:tc>
      </w:tr>
      <w:tr>
        <w:tc>
          <w:tcPr>
            <w:tcW w:type="dxa" w:w="11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20.06.</w:t>
            </w:r>
          </w:p>
        </w:tc>
        <w:tc>
          <w:tcPr>
            <w:tcW w:type="dxa" w:w="65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EU-Widerrufsbutton + funktionsfähiges Widerrufsformular, CAPTCHA</w:t>
            </w:r>
          </w:p>
        </w:tc>
        <w:tc>
          <w:tcPr>
            <w:tcW w:type="dxa" w:w="14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7</w:t>
            </w:r>
          </w:p>
        </w:tc>
      </w:tr>
      <w:tr>
        <w:tc>
          <w:tcPr>
            <w:tcW w:type="dxa" w:w="11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21.06.</w:t>
            </w:r>
          </w:p>
        </w:tc>
        <w:tc>
          <w:tcPr>
            <w:tcW w:type="dxa" w:w="65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DSGVO-Cookie-Consent, rechtskonforme Belege (§19 UStG / GoBD), SEO-Slug-URLs, Dashboard-Diagramme, Node 20, Keep-Alive, ESLint/Tests</w:t>
            </w:r>
          </w:p>
        </w:tc>
        <w:tc>
          <w:tcPr>
            <w:tcW w:type="dxa" w:w="14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17</w:t>
            </w:r>
          </w:p>
        </w:tc>
      </w:tr>
      <w:tr>
        <w:tc>
          <w:tcPr>
            <w:tcW w:type="dxa" w:w="11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22.06.</w:t>
            </w:r>
          </w:p>
        </w:tc>
        <w:tc>
          <w:tcPr>
            <w:tcW w:type="dxa" w:w="65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Marktforschungs-Dashboard, Newsletter (Double-Opt-In), Suchbegriff-Tracking, Geräte-/Regionen-Insights</w:t>
            </w:r>
          </w:p>
        </w:tc>
        <w:tc>
          <w:tcPr>
            <w:tcW w:type="dxa" w:w="14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14</w:t>
            </w:r>
          </w:p>
        </w:tc>
      </w:tr>
      <w:tr>
        <w:tc>
          <w:tcPr>
            <w:tcW w:type="dxa" w:w="11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24.06.</w:t>
            </w:r>
          </w:p>
        </w:tc>
        <w:tc>
          <w:tcPr>
            <w:tcW w:type="dxa" w:w="65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Preis- &amp; Margenanalyse, Preis-Updates (15 Produkte + Varianten), UVP-Konsistenz, .gitattributes</w:t>
            </w:r>
          </w:p>
        </w:tc>
        <w:tc>
          <w:tcPr>
            <w:tcW w:type="dxa" w:w="14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7</w:t>
            </w:r>
          </w:p>
        </w:tc>
      </w:tr>
    </w:tbl>
    <w:p>
      <w:pPr>
        <w:spacing w:after="60"/>
      </w:pPr>
      <w:r>
        <w:rPr>
          <w:rFonts w:ascii="Arial" w:cs="Arial" w:eastAsia="Arial" w:hAnsi="Arial"/>
        </w:rPr>
        <w:t xml:space="preserve"/>
      </w:r>
    </w:p>
    <w:p>
      <w:pPr>
        <w:spacing w:after="120" w:line="264"/>
      </w:pPr>
      <w:r>
        <w:rPr>
          <w:rFonts w:ascii="Arial" w:cs="Arial" w:eastAsia="Arial" w:hAnsi="Arial"/>
        </w:rPr>
        <w:t xml:space="preserve">Thematisch gebündelt wurde Folgendes erreicht:</w:t>
      </w:r>
    </w:p>
    <w:p>
      <w:pPr>
        <w:pStyle w:val="Heading3"/>
        <w:spacing w:after="80" w:before="160"/>
      </w:pPr>
      <w:r>
        <w:rPr>
          <w:rFonts w:ascii="Arial" w:cs="Arial" w:eastAsia="Arial" w:hAnsi="Arial"/>
        </w:rPr>
        <w:t xml:space="preserve">Infrastruktur &amp; Stabilität</w:t>
      </w:r>
    </w:p>
    <w:p>
      <w:pPr>
        <w:pStyle w:val="ListParagraph"/>
        <w:numPr>
          <w:ilvl w:val="0"/>
          <w:numId w:val="2"/>
        </w:numPr>
        <w:spacing w:after="70" w:line="264"/>
      </w:pPr>
      <w:r>
        <w:rPr>
          <w:rFonts w:ascii="Arial" w:cs="Arial" w:eastAsia="Arial" w:hAnsi="Arial"/>
        </w:rPr>
        <w:t xml:space="preserve">Umzug der gesamten Produktion auf Render (Free-Plan); Netlify-Altpfad vollständig entfernt — server.js ist die einzige Quelle der Wahrheit.</w:t>
      </w:r>
    </w:p>
    <w:p>
      <w:pPr>
        <w:pStyle w:val="ListParagraph"/>
        <w:numPr>
          <w:ilvl w:val="0"/>
          <w:numId w:val="2"/>
        </w:numPr>
        <w:spacing w:after="70" w:line="264"/>
      </w:pPr>
      <w:r>
        <w:rPr>
          <w:rFonts w:ascii="Arial" w:cs="Arial" w:eastAsia="Arial" w:hAnsi="Arial"/>
        </w:rPr>
        <w:t xml:space="preserve">Dauerhafte Neon-Postgres-Datenbank statt SQLite; Node 18 → 20 (natives fetch).</w:t>
      </w:r>
    </w:p>
    <w:p>
      <w:pPr>
        <w:pStyle w:val="ListParagraph"/>
        <w:numPr>
          <w:ilvl w:val="0"/>
          <w:numId w:val="2"/>
        </w:numPr>
        <w:spacing w:after="70" w:line="264"/>
      </w:pPr>
      <w:r>
        <w:rPr>
          <w:rFonts w:ascii="Arial" w:cs="Arial" w:eastAsia="Arial" w:hAnsi="Arial"/>
        </w:rPr>
        <w:t xml:space="preserve">Keep-Alive gegen den Free-Plan-Schlaf (GET /health + GitHub-Actions-Cron alle 10 Min).</w:t>
      </w:r>
    </w:p>
    <w:p>
      <w:pPr>
        <w:pStyle w:val="ListParagraph"/>
        <w:numPr>
          <w:ilvl w:val="0"/>
          <w:numId w:val="2"/>
        </w:numPr>
        <w:spacing w:after="70" w:line="264"/>
      </w:pPr>
      <w:r>
        <w:rPr>
          <w:rFonts w:ascii="Arial" w:cs="Arial" w:eastAsia="Arial" w:hAnsi="Arial"/>
        </w:rPr>
        <w:t xml:space="preserve">Checkout-Bug behoben: zeigte auf einen toten Netlify-Endpoint (404) → jetzt /api/.</w:t>
      </w:r>
    </w:p>
    <w:p>
      <w:pPr>
        <w:pStyle w:val="Heading3"/>
        <w:spacing w:after="80" w:before="160"/>
      </w:pPr>
      <w:r>
        <w:rPr>
          <w:rFonts w:ascii="Arial" w:cs="Arial" w:eastAsia="Arial" w:hAnsi="Arial"/>
        </w:rPr>
        <w:t xml:space="preserve">Recht &amp; Compliance</w:t>
      </w:r>
    </w:p>
    <w:p>
      <w:pPr>
        <w:pStyle w:val="ListParagraph"/>
        <w:numPr>
          <w:ilvl w:val="0"/>
          <w:numId w:val="2"/>
        </w:numPr>
        <w:spacing w:after="70" w:line="264"/>
      </w:pPr>
      <w:r>
        <w:rPr>
          <w:rFonts w:ascii="Arial" w:cs="Arial" w:eastAsia="Arial" w:hAnsi="Arial"/>
        </w:rPr>
        <w:t xml:space="preserve">DSGVO-Cookie-Consent-Banner (Zwei-Stufen-Einwilligung, eigene Lösung, kein Drittanbieter).</w:t>
      </w:r>
    </w:p>
    <w:p>
      <w:pPr>
        <w:pStyle w:val="ListParagraph"/>
        <w:numPr>
          <w:ilvl w:val="0"/>
          <w:numId w:val="2"/>
        </w:numPr>
        <w:spacing w:after="70" w:line="264"/>
      </w:pPr>
      <w:r>
        <w:rPr>
          <w:rFonts w:ascii="Arial" w:cs="Arial" w:eastAsia="Arial" w:hAnsi="Arial"/>
        </w:rPr>
        <w:t xml:space="preserve">Rechtskonforme Belege: Kleinunternehmer §19 UStG, fortlaufende Rechnungsnummer, GoBD-Archiv per Mail.</w:t>
      </w:r>
    </w:p>
    <w:p>
      <w:pPr>
        <w:pStyle w:val="ListParagraph"/>
        <w:numPr>
          <w:ilvl w:val="0"/>
          <w:numId w:val="2"/>
        </w:numPr>
        <w:spacing w:after="70" w:line="264"/>
      </w:pPr>
      <w:r>
        <w:rPr>
          <w:rFonts w:ascii="Arial" w:cs="Arial" w:eastAsia="Arial" w:hAnsi="Arial"/>
        </w:rPr>
        <w:t xml:space="preserve">EU-Widerrufsbelehrung + Online-Widerrufsformular auf allen Seiten, mit CAPTCHA-Schutz.</w:t>
      </w:r>
    </w:p>
    <w:p>
      <w:pPr>
        <w:pStyle w:val="ListParagraph"/>
        <w:numPr>
          <w:ilvl w:val="0"/>
          <w:numId w:val="2"/>
        </w:numPr>
        <w:spacing w:after="70" w:line="264"/>
      </w:pPr>
      <w:r>
        <w:rPr>
          <w:rFonts w:ascii="Arial" w:cs="Arial" w:eastAsia="Arial" w:hAnsi="Arial"/>
        </w:rPr>
        <w:t xml:space="preserve">Security-Härtung (CORS/CSP); ein versehentlich committeter SSL-Key + Stripe-Code aus der Repo-Historie entfernt.</w:t>
      </w:r>
    </w:p>
    <w:p>
      <w:pPr>
        <w:pStyle w:val="Heading3"/>
        <w:spacing w:after="80" w:before="160"/>
      </w:pPr>
      <w:r>
        <w:rPr>
          <w:rFonts w:ascii="Arial" w:cs="Arial" w:eastAsia="Arial" w:hAnsi="Arial"/>
        </w:rPr>
        <w:t xml:space="preserve">Analytics &amp; Marktforschung</w:t>
      </w:r>
    </w:p>
    <w:p>
      <w:pPr>
        <w:pStyle w:val="ListParagraph"/>
        <w:numPr>
          <w:ilvl w:val="0"/>
          <w:numId w:val="2"/>
        </w:numPr>
        <w:spacing w:after="70" w:line="264"/>
      </w:pPr>
      <w:r>
        <w:rPr>
          <w:rFonts w:ascii="Arial" w:cs="Arial" w:eastAsia="Arial" w:hAnsi="Arial"/>
        </w:rPr>
        <w:t xml:space="preserve">Admin-Dashboard mit umschaltbaren Diagrammen je Kachel und Zeitraum-Filter (Heute / 7 Tage / Monat / Jahr / Gesamt).</w:t>
      </w:r>
    </w:p>
    <w:p>
      <w:pPr>
        <w:pStyle w:val="ListParagraph"/>
        <w:numPr>
          <w:ilvl w:val="0"/>
          <w:numId w:val="2"/>
        </w:numPr>
        <w:spacing w:after="70" w:line="264"/>
      </w:pPr>
      <w:r>
        <w:rPr>
          <w:rFonts w:ascii="Arial" w:cs="Arial" w:eastAsia="Arial" w:hAnsi="Arial"/>
        </w:rPr>
        <w:t xml:space="preserve">Consent-gated Aufrufe- und Verweildauer-Tracking; Besucher-Insights (Gerät/Browser/OS, Einstiegsseiten, Wiederkehrer).</w:t>
      </w:r>
    </w:p>
    <w:p>
      <w:pPr>
        <w:pStyle w:val="ListParagraph"/>
        <w:numPr>
          <w:ilvl w:val="0"/>
          <w:numId w:val="2"/>
        </w:numPr>
        <w:spacing w:after="70" w:line="264"/>
      </w:pPr>
      <w:r>
        <w:rPr>
          <w:rFonts w:ascii="Arial" w:cs="Arial" w:eastAsia="Arial" w:hAnsi="Arial"/>
        </w:rPr>
        <w:t xml:space="preserve">Produkt-Analyse-Seite mit Bewertung (Renner / Schwach).</w:t>
      </w:r>
    </w:p>
    <w:p>
      <w:pPr>
        <w:pStyle w:val="ListParagraph"/>
        <w:numPr>
          <w:ilvl w:val="0"/>
          <w:numId w:val="2"/>
        </w:numPr>
        <w:spacing w:after="70" w:line="264"/>
      </w:pPr>
      <w:r>
        <w:rPr>
          <w:rFonts w:ascii="Arial" w:cs="Arial" w:eastAsia="Arial" w:hAnsi="Arial"/>
        </w:rPr>
        <w:t xml:space="preserve">Aggregiertes, DSGVO-konformes Marktforschungs-Dashboard: Conversion-Funnel inkl. Warenkorbabbruch-Rate, Top-/Null-Treffer-Suchbegriffe, Referrer/Kanäle, Regionen (Land + PLZ), Geräte-Conversion, Zeit-/Tagesmuster.</w:t>
      </w:r>
    </w:p>
    <w:p>
      <w:pPr>
        <w:pStyle w:val="Heading3"/>
        <w:spacing w:after="80" w:before="160"/>
      </w:pPr>
      <w:r>
        <w:rPr>
          <w:rFonts w:ascii="Arial" w:cs="Arial" w:eastAsia="Arial" w:hAnsi="Arial"/>
        </w:rPr>
        <w:t xml:space="preserve">Marketing &amp; Wachstum</w:t>
      </w:r>
    </w:p>
    <w:p>
      <w:pPr>
        <w:pStyle w:val="ListParagraph"/>
        <w:numPr>
          <w:ilvl w:val="0"/>
          <w:numId w:val="2"/>
        </w:numPr>
        <w:spacing w:after="70" w:line="264"/>
      </w:pPr>
      <w:r>
        <w:rPr>
          <w:rFonts w:ascii="Arial" w:cs="Arial" w:eastAsia="Arial" w:hAnsi="Arial"/>
        </w:rPr>
        <w:t xml:space="preserve">Newsletter mit Double-Opt-In (DSGVO/UWG §7): Anmelde-Popup, Bestätigungs-/Abmelde-Flow, Admin-Verwaltung mit Mehrfach-Löschen und Werbe-Mail-Versand (Broadcast).</w:t>
      </w:r>
    </w:p>
    <w:p>
      <w:pPr>
        <w:pStyle w:val="ListParagraph"/>
        <w:numPr>
          <w:ilvl w:val="0"/>
          <w:numId w:val="2"/>
        </w:numPr>
        <w:spacing w:after="70" w:line="264"/>
      </w:pPr>
      <w:r>
        <w:rPr>
          <w:rFonts w:ascii="Arial" w:cs="Arial" w:eastAsia="Arial" w:hAnsi="Arial"/>
        </w:rPr>
        <w:t xml:space="preserve">E-Mail-Versand über Resend live (Domain verifiziert); Resend-Fehler werden jetzt erkannt statt still zu scheitern.</w:t>
      </w:r>
    </w:p>
    <w:p>
      <w:pPr>
        <w:pStyle w:val="ListParagraph"/>
        <w:numPr>
          <w:ilvl w:val="0"/>
          <w:numId w:val="2"/>
        </w:numPr>
        <w:spacing w:after="70" w:line="264"/>
      </w:pPr>
      <w:r>
        <w:rPr>
          <w:rFonts w:ascii="Arial" w:cs="Arial" w:eastAsia="Arial" w:hAnsi="Arial"/>
        </w:rPr>
        <w:t xml:space="preserve">SEO-freundliche Slug-URLs für alle Produktseiten + 301-Weiterleitungen der alten ID-URLs.</w:t>
      </w:r>
    </w:p>
    <w:p>
      <w:pPr>
        <w:pStyle w:val="Heading3"/>
        <w:spacing w:after="80" w:before="160"/>
      </w:pPr>
      <w:r>
        <w:rPr>
          <w:rFonts w:ascii="Arial" w:cs="Arial" w:eastAsia="Arial" w:hAnsi="Arial"/>
        </w:rPr>
        <w:t xml:space="preserve">Preise &amp; Marge (24.06.)</w:t>
      </w:r>
    </w:p>
    <w:p>
      <w:pPr>
        <w:pStyle w:val="ListParagraph"/>
        <w:numPr>
          <w:ilvl w:val="0"/>
          <w:numId w:val="2"/>
        </w:numPr>
        <w:spacing w:after="70" w:line="264"/>
      </w:pPr>
      <w:r>
        <w:rPr>
          <w:rFonts w:ascii="Arial" w:cs="Arial" w:eastAsia="Arial" w:hAnsi="Arial"/>
        </w:rPr>
        <w:t xml:space="preserve">Margenanalyse über das gesamte Sortiment; kritischer Wert ist die Marge nach 20 % Rabatt (Gutschein).</w:t>
      </w:r>
    </w:p>
    <w:p>
      <w:pPr>
        <w:pStyle w:val="ListParagraph"/>
        <w:numPr>
          <w:ilvl w:val="0"/>
          <w:numId w:val="2"/>
        </w:numPr>
        <w:spacing w:after="70" w:line="264"/>
      </w:pPr>
      <w:r>
        <w:rPr>
          <w:rFonts w:ascii="Arial" w:cs="Arial" w:eastAsia="Arial" w:hAnsi="Arial"/>
        </w:rPr>
        <w:t xml:space="preserve">15 Produkte + Varianten auf gesunde Preise gebracht (≥ 30 % Marge nach Rabatt), über alle fünf Preis-Stellen konsistent (products.json, Seitenpreis, eingebettetes JSON, Detailzeile, „Ähnliche Produkte"-Karten).</w:t>
      </w:r>
    </w:p>
    <w:p>
      <w:pPr>
        <w:pStyle w:val="ListParagraph"/>
        <w:numPr>
          <w:ilvl w:val="0"/>
          <w:numId w:val="2"/>
        </w:numPr>
        <w:spacing w:after="70" w:line="264"/>
      </w:pPr>
      <w:r>
        <w:rPr>
          <w:rFonts w:ascii="Arial" w:cs="Arial" w:eastAsia="Arial" w:hAnsi="Arial"/>
        </w:rPr>
        <w:t xml:space="preserve">Streichpreise (UVP) bereinigt und konsistent gemacht; .gitattributes gegen Zeilenende-Drift.</w:t>
      </w:r>
    </w:p>
    <w:p>
      <w:pPr>
        <w:pStyle w:val="Heading3"/>
        <w:spacing w:after="80" w:before="160"/>
      </w:pPr>
      <w:r>
        <w:rPr>
          <w:rFonts w:ascii="Arial" w:cs="Arial" w:eastAsia="Arial" w:hAnsi="Arial"/>
        </w:rPr>
        <w:t xml:space="preserve">Code-Qualität</w:t>
      </w:r>
    </w:p>
    <w:p>
      <w:pPr>
        <w:pStyle w:val="ListParagraph"/>
        <w:numPr>
          <w:ilvl w:val="0"/>
          <w:numId w:val="2"/>
        </w:numPr>
        <w:spacing w:after="70" w:line="264"/>
      </w:pPr>
      <w:r>
        <w:rPr>
          <w:rFonts w:ascii="Arial" w:cs="Arial" w:eastAsia="Arial" w:hAnsi="Arial"/>
        </w:rPr>
        <w:t xml:space="preserve">ESLint + Prettier + Smoke-Tests eingeführt; toter Code, ungenutzte Abhängigkeiten und Altpfade entfernt; Robustheit gehärtet.</w:t>
      </w:r>
    </w:p>
    <w:p>
      <w:pPr>
        <w:pStyle w:val="Heading1"/>
        <w:spacing w:after="140" w:before="280"/>
      </w:pPr>
      <w:r>
        <w:rPr>
          <w:rFonts w:ascii="Arial" w:cs="Arial" w:eastAsia="Arial" w:hAnsi="Arial"/>
        </w:rPr>
        <w:t xml:space="preserve">3. Aktueller Stand des Shops</w:t>
      </w:r>
    </w:p>
    <w:p>
      <w:pPr>
        <w:spacing w:after="120" w:line="264"/>
      </w:pPr>
      <w:r>
        <w:rPr>
          <w:rFonts w:ascii="Arial" w:cs="Arial" w:eastAsia="Arial" w:hAnsi="Arial"/>
        </w:rPr>
        <w:t xml:space="preserve">Maios ist ein deutschsprachiger Dropshipping-Shop (Vanilla-JS-Frontend, Node/Express-Backend). Der Shop ist live, rechtlich abgesichert, mit Analytics ausgestattet und hat saubere SEO-Grundlagen. Aktuell umfasst das Sortiment </w:t>
      </w:r>
      <w:r>
        <w:rPr>
          <w:rFonts w:ascii="Arial" w:cs="Arial" w:eastAsia="Arial" w:hAnsi="Arial"/>
          <w:b/>
          <w:bCs/>
        </w:rPr>
        <w:t xml:space="preserve">40 Produkte</w:t>
      </w:r>
      <w:r>
        <w:rPr>
          <w:rFonts w:ascii="Arial" w:cs="Arial" w:eastAsia="Arial" w:hAnsi="Arial"/>
        </w:rPr>
        <w:t xml:space="preserve"> in vier Kategorien, mit Preisen von 6,99 € bis 96,99 € (Schnitt 29,57 €).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center"/>
            </w:pPr>
            <w:r>
              <w:rPr>
                <w:rFonts w:ascii="Arial" w:cs="Arial" w:eastAsia="Arial" w:hAnsi="Arial"/>
                <w:b/>
                <w:bCs/>
                <w:color w:val="FFFFFF"/>
              </w:rPr>
              <w:t xml:space="preserve">Kategorie</w:t>
            </w:r>
          </w:p>
        </w:tc>
        <w:tc>
          <w:tcPr>
            <w:tcW w:type="dxa" w:w="4513"/>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center"/>
            </w:pPr>
            <w:r>
              <w:rPr>
                <w:rFonts w:ascii="Arial" w:cs="Arial" w:eastAsia="Arial" w:hAnsi="Arial"/>
                <w:b/>
                <w:bCs/>
                <w:color w:val="FFFFFF"/>
              </w:rPr>
              <w:t xml:space="preserve">Produkte</w:t>
            </w:r>
          </w:p>
        </w:tc>
      </w:tr>
      <w:tr>
        <w:tc>
          <w:tcPr>
            <w:tcW w:type="dxa" w:w="4513"/>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Körperpflege / Wellness</w:t>
            </w:r>
          </w:p>
        </w:tc>
        <w:tc>
          <w:tcPr>
            <w:tcW w:type="dxa" w:w="4513"/>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center"/>
            </w:pPr>
            <w:r>
              <w:rPr>
                <w:rFonts w:ascii="Arial" w:cs="Arial" w:eastAsia="Arial" w:hAnsi="Arial"/>
              </w:rPr>
              <w:t xml:space="preserve">14</w:t>
            </w:r>
          </w:p>
        </w:tc>
      </w:tr>
      <w:tr>
        <w:tc>
          <w:tcPr>
            <w:tcW w:type="dxa" w:w="4513"/>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Technik / Gadgets</w:t>
            </w:r>
          </w:p>
        </w:tc>
        <w:tc>
          <w:tcPr>
            <w:tcW w:type="dxa" w:w="4513"/>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center"/>
            </w:pPr>
            <w:r>
              <w:rPr>
                <w:rFonts w:ascii="Arial" w:cs="Arial" w:eastAsia="Arial" w:hAnsi="Arial"/>
              </w:rPr>
              <w:t xml:space="preserve">9</w:t>
            </w:r>
          </w:p>
        </w:tc>
      </w:tr>
      <w:tr>
        <w:tc>
          <w:tcPr>
            <w:tcW w:type="dxa" w:w="4513"/>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Haushalt und Küche</w:t>
            </w:r>
          </w:p>
        </w:tc>
        <w:tc>
          <w:tcPr>
            <w:tcW w:type="dxa" w:w="4513"/>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center"/>
            </w:pPr>
            <w:r>
              <w:rPr>
                <w:rFonts w:ascii="Arial" w:cs="Arial" w:eastAsia="Arial" w:hAnsi="Arial"/>
              </w:rPr>
              <w:t xml:space="preserve">9</w:t>
            </w:r>
          </w:p>
        </w:tc>
      </w:tr>
      <w:tr>
        <w:tc>
          <w:tcPr>
            <w:tcW w:type="dxa" w:w="4513"/>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Beleuchtung</w:t>
            </w:r>
          </w:p>
        </w:tc>
        <w:tc>
          <w:tcPr>
            <w:tcW w:type="dxa" w:w="4513"/>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center"/>
            </w:pPr>
            <w:r>
              <w:rPr>
                <w:rFonts w:ascii="Arial" w:cs="Arial" w:eastAsia="Arial" w:hAnsi="Arial"/>
              </w:rPr>
              <w:t xml:space="preserve">8</w:t>
            </w:r>
          </w:p>
        </w:tc>
      </w:tr>
      <w:tr>
        <w:tc>
          <w:tcPr>
            <w:tcW w:type="dxa" w:w="4513"/>
            <w:tcBorders>
              <w:top w:val="single" w:color="D9D9D9" w:sz="1"/>
              <w:left w:val="single" w:color="D9D9D9" w:sz="1"/>
              <w:bottom w:val="single" w:color="D9D9D9" w:sz="1"/>
              <w:right w:val="single" w:color="D9D9D9" w:sz="1"/>
            </w:tcBorders>
            <w:shd w:fill="EDE9FE" w:val="clear"/>
            <w:tcMar>
              <w:top w:type="dxa" w:w="60"/>
              <w:left w:type="dxa" w:w="110"/>
              <w:bottom w:type="dxa" w:w="60"/>
              <w:right w:type="dxa" w:w="110"/>
            </w:tcMar>
          </w:tcPr>
          <w:p>
            <w:pPr>
              <w:jc w:val="left"/>
            </w:pPr>
            <w:r>
              <w:rPr>
                <w:rFonts w:ascii="Arial" w:cs="Arial" w:eastAsia="Arial" w:hAnsi="Arial"/>
                <w:b/>
                <w:bCs/>
              </w:rPr>
              <w:t xml:space="preserve">Gesamt</w:t>
            </w:r>
          </w:p>
        </w:tc>
        <w:tc>
          <w:tcPr>
            <w:tcW w:type="dxa" w:w="4513"/>
            <w:tcBorders>
              <w:top w:val="single" w:color="D9D9D9" w:sz="1"/>
              <w:left w:val="single" w:color="D9D9D9" w:sz="1"/>
              <w:bottom w:val="single" w:color="D9D9D9" w:sz="1"/>
              <w:right w:val="single" w:color="D9D9D9" w:sz="1"/>
            </w:tcBorders>
            <w:shd w:fill="EDE9FE" w:val="clear"/>
            <w:tcMar>
              <w:top w:type="dxa" w:w="60"/>
              <w:left w:type="dxa" w:w="110"/>
              <w:bottom w:type="dxa" w:w="60"/>
              <w:right w:type="dxa" w:w="110"/>
            </w:tcMar>
          </w:tcPr>
          <w:p>
            <w:pPr>
              <w:jc w:val="center"/>
            </w:pPr>
            <w:r>
              <w:rPr>
                <w:rFonts w:ascii="Arial" w:cs="Arial" w:eastAsia="Arial" w:hAnsi="Arial"/>
                <w:b/>
                <w:bCs/>
              </w:rPr>
              <w:t xml:space="preserve">40</w:t>
            </w:r>
          </w:p>
        </w:tc>
      </w:tr>
    </w:tbl>
    <w:p>
      <w:pPr>
        <w:spacing w:after="60"/>
      </w:pPr>
      <w:r>
        <w:rPr>
          <w:rFonts w:ascii="Arial" w:cs="Arial" w:eastAsia="Arial" w:hAnsi="Arial"/>
        </w:rPr>
        <w:t xml:space="preserve"/>
      </w:r>
    </w:p>
    <w:p>
      <w:pPr>
        <w:spacing w:after="120" w:line="264"/>
      </w:pPr>
      <w:r>
        <w:rPr>
          <w:rFonts w:ascii="Arial" w:cs="Arial" w:eastAsia="Arial" w:hAnsi="Arial"/>
          <w:b/>
          <w:bCs/>
        </w:rPr>
        <w:t xml:space="preserve">Reif / erledigt: </w:t>
      </w:r>
      <w:r>
        <w:rPr>
          <w:rFonts w:ascii="Arial" w:cs="Arial" w:eastAsia="Arial" w:hAnsi="Arial"/>
        </w:rPr>
        <w:t xml:space="preserve">Zahlung &amp; Bestellautomatik, rechtssichere Belege, DSGVO-Bausteine, Newsletter, Analytics-/Marktforschungs-Dashboards, SEO-Meta (Description, Canonical, Open Graph auf allen 40 Seiten), gesunde Margen.</w:t>
      </w:r>
    </w:p>
    <w:p>
      <w:pPr>
        <w:spacing w:after="120" w:line="264"/>
      </w:pPr>
      <w:r>
        <w:rPr>
          <w:rFonts w:ascii="Arial" w:cs="Arial" w:eastAsia="Arial" w:hAnsi="Arial"/>
          <w:b/>
          <w:bCs/>
        </w:rPr>
        <w:t xml:space="preserve">Phase: </w:t>
      </w:r>
      <w:r>
        <w:rPr>
          <w:rFonts w:ascii="Arial" w:cs="Arial" w:eastAsia="Arial" w:hAnsi="Arial"/>
        </w:rPr>
        <w:t xml:space="preserve">Der Shop ist jung — die Besucher- und Verkaufszahlen stehen noch am Anfang. Die Infrastruktur ist da; jetzt geht es um Reichweite und Conversion.</w:t>
      </w:r>
    </w:p>
    <w:p>
      <w:pPr>
        <w:pStyle w:val="Heading1"/>
        <w:spacing w:after="140" w:before="280"/>
      </w:pPr>
      <w:r>
        <w:rPr>
          <w:rFonts w:ascii="Arial" w:cs="Arial" w:eastAsia="Arial" w:hAnsi="Arial"/>
        </w:rPr>
        <w:t xml:space="preserve">4. Zukünftige Ziele</w:t>
      </w:r>
    </w:p>
    <w:p>
      <w:pPr>
        <w:pStyle w:val="Heading3"/>
        <w:spacing w:after="80" w:before="160"/>
      </w:pPr>
      <w:r>
        <w:rPr>
          <w:rFonts w:ascii="Arial" w:cs="Arial" w:eastAsia="Arial" w:hAnsi="Arial"/>
        </w:rPr>
        <w:t xml:space="preserve">Kurzfristig (1–4 Wochen)</w:t>
      </w:r>
    </w:p>
    <w:p>
      <w:pPr>
        <w:pStyle w:val="ListParagraph"/>
        <w:numPr>
          <w:ilvl w:val="0"/>
          <w:numId w:val="2"/>
        </w:numPr>
        <w:spacing w:after="70" w:line="264"/>
      </w:pPr>
      <w:r>
        <w:rPr>
          <w:rFonts w:ascii="Arial" w:cs="Arial" w:eastAsia="Arial" w:hAnsi="Arial"/>
        </w:rPr>
        <w:t xml:space="preserve">Technische Quick-Wins für Sichtbarkeit &amp; Vertrauen umsetzen (Product-JSON-LD, Zoom-Freigabe, Logo/Favicon, Bildoptimierung).</w:t>
      </w:r>
    </w:p>
    <w:p>
      <w:pPr>
        <w:pStyle w:val="ListParagraph"/>
        <w:numPr>
          <w:ilvl w:val="0"/>
          <w:numId w:val="2"/>
        </w:numPr>
        <w:spacing w:after="70" w:line="264"/>
      </w:pPr>
      <w:r>
        <w:rPr>
          <w:rFonts w:ascii="Arial" w:cs="Arial" w:eastAsia="Arial" w:hAnsi="Arial"/>
        </w:rPr>
        <w:t xml:space="preserve">Einen ersten verlässlichen Traffic-Kanal starten — primär die vorhandene TikTok-Creative-Pipeline; einen kleinen bezahlten Test (Meta/TikTok) vorbereiten.</w:t>
      </w:r>
    </w:p>
    <w:p>
      <w:pPr>
        <w:pStyle w:val="ListParagraph"/>
        <w:numPr>
          <w:ilvl w:val="0"/>
          <w:numId w:val="2"/>
        </w:numPr>
        <w:spacing w:after="70" w:line="264"/>
      </w:pPr>
      <w:r>
        <w:rPr>
          <w:rFonts w:ascii="Arial" w:cs="Arial" w:eastAsia="Arial" w:hAnsi="Arial"/>
        </w:rPr>
        <w:t xml:space="preserve">Wöchentliches Ritual: Marktforschungs-Dashboard auswerten (Funnel, Suchbegriffe ohne Treffer, Warenkorbabbruch).</w:t>
      </w:r>
    </w:p>
    <w:p>
      <w:pPr>
        <w:pStyle w:val="Heading3"/>
        <w:spacing w:after="80" w:before="160"/>
      </w:pPr>
      <w:r>
        <w:rPr>
          <w:rFonts w:ascii="Arial" w:cs="Arial" w:eastAsia="Arial" w:hAnsi="Arial"/>
        </w:rPr>
        <w:t xml:space="preserve">Mittelfristig (1–3 Monate)</w:t>
      </w:r>
    </w:p>
    <w:p>
      <w:pPr>
        <w:pStyle w:val="ListParagraph"/>
        <w:numPr>
          <w:ilvl w:val="0"/>
          <w:numId w:val="2"/>
        </w:numPr>
        <w:spacing w:after="70" w:line="264"/>
      </w:pPr>
      <w:r>
        <w:rPr>
          <w:rFonts w:ascii="Arial" w:cs="Arial" w:eastAsia="Arial" w:hAnsi="Arial"/>
        </w:rPr>
        <w:t xml:space="preserve">Einheitliches, hochwertiges Design-System über alle Seiten; Kundenbewertungen einführen; Warenkorbabbruch- und Win-back-Mails automatisieren.</w:t>
      </w:r>
    </w:p>
    <w:p>
      <w:pPr>
        <w:pStyle w:val="ListParagraph"/>
        <w:numPr>
          <w:ilvl w:val="0"/>
          <w:numId w:val="2"/>
        </w:numPr>
        <w:spacing w:after="70" w:line="264"/>
      </w:pPr>
      <w:r>
        <w:rPr>
          <w:rFonts w:ascii="Arial" w:cs="Arial" w:eastAsia="Arial" w:hAnsi="Arial"/>
        </w:rPr>
        <w:t xml:space="preserve">Sortiment datenbasiert schärfen: Renner skalieren, Schwache aussortieren, Kostendaten der ALI-Produkte ergänzen.</w:t>
      </w:r>
    </w:p>
    <w:p>
      <w:pPr>
        <w:pStyle w:val="ListParagraph"/>
        <w:numPr>
          <w:ilvl w:val="0"/>
          <w:numId w:val="2"/>
        </w:numPr>
        <w:spacing w:after="70" w:line="264"/>
      </w:pPr>
      <w:r>
        <w:rPr>
          <w:rFonts w:ascii="Arial" w:cs="Arial" w:eastAsia="Arial" w:hAnsi="Arial"/>
        </w:rPr>
        <w:t xml:space="preserve">Ersten profitablen Kanal etablieren (positive Stückkosten-Rechnung inkl. Werbekosten).</w:t>
      </w:r>
    </w:p>
    <w:p>
      <w:pPr>
        <w:pStyle w:val="Heading3"/>
        <w:spacing w:after="80" w:before="160"/>
      </w:pPr>
      <w:r>
        <w:rPr>
          <w:rFonts w:ascii="Arial" w:cs="Arial" w:eastAsia="Arial" w:hAnsi="Arial"/>
        </w:rPr>
        <w:t xml:space="preserve">Langfristig (3–12 Monate)</w:t>
      </w:r>
    </w:p>
    <w:p>
      <w:pPr>
        <w:pStyle w:val="ListParagraph"/>
        <w:numPr>
          <w:ilvl w:val="0"/>
          <w:numId w:val="2"/>
        </w:numPr>
        <w:spacing w:after="70" w:line="264"/>
      </w:pPr>
      <w:r>
        <w:rPr>
          <w:rFonts w:ascii="Arial" w:cs="Arial" w:eastAsia="Arial" w:hAnsi="Arial"/>
        </w:rPr>
        <w:t xml:space="preserve">Den funktionierenden Kanal skalieren; Marke und Wiederkäufer-Basis aufbauen.</w:t>
      </w:r>
    </w:p>
    <w:p>
      <w:pPr>
        <w:pStyle w:val="ListParagraph"/>
        <w:numPr>
          <w:ilvl w:val="0"/>
          <w:numId w:val="2"/>
        </w:numPr>
        <w:spacing w:after="70" w:line="264"/>
      </w:pPr>
      <w:r>
        <w:rPr>
          <w:rFonts w:ascii="Arial" w:cs="Arial" w:eastAsia="Arial" w:hAnsi="Arial"/>
        </w:rPr>
        <w:t xml:space="preserve">Sortiment/Kategorien gezielt erweitern; für Hero-Produkte schnellere Lieferung prüfen (Lager/EU-Versand).</w:t>
      </w:r>
    </w:p>
    <w:p>
      <w:pPr>
        <w:pStyle w:val="Heading1"/>
        <w:spacing w:after="140" w:before="280"/>
      </w:pPr>
      <w:r>
        <w:rPr>
          <w:rFonts w:ascii="Arial" w:cs="Arial" w:eastAsia="Arial" w:hAnsi="Arial"/>
        </w:rPr>
        <w:t xml:space="preserve">5. Verbesserungsvorschläge</w:t>
      </w:r>
    </w:p>
    <w:p>
      <w:pPr>
        <w:spacing w:after="120" w:line="264"/>
      </w:pPr>
      <w:r>
        <w:rPr>
          <w:rFonts w:ascii="Arial" w:cs="Arial" w:eastAsia="Arial" w:hAnsi="Arial"/>
        </w:rPr>
        <w:t xml:space="preserve">Priorisiert nach Wirkung. Die SEO-Basics (Meta-Description, Canonical, Open Graph) sind bereits auf allen 40 Seiten vorhanden — gut. Offen sind v.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3626"/>
        <w:gridCol w:w="2500"/>
      </w:tblGrid>
      <w:tr>
        <w:trPr>
          <w:tblHeader/>
        </w:trPr>
        <w:tc>
          <w:tcPr>
            <w:tcW w:type="dxa" w:w="1150"/>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left"/>
            </w:pPr>
            <w:r>
              <w:rPr>
                <w:rFonts w:ascii="Arial" w:cs="Arial" w:eastAsia="Arial" w:hAnsi="Arial"/>
                <w:b/>
                <w:bCs/>
                <w:color w:val="FFFFFF"/>
              </w:rPr>
              <w:t xml:space="preserve">Prio</w:t>
            </w:r>
          </w:p>
        </w:tc>
        <w:tc>
          <w:tcPr>
            <w:tcW w:type="dxa" w:w="1750"/>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left"/>
            </w:pPr>
            <w:r>
              <w:rPr>
                <w:rFonts w:ascii="Arial" w:cs="Arial" w:eastAsia="Arial" w:hAnsi="Arial"/>
                <w:b/>
                <w:bCs/>
                <w:color w:val="FFFFFF"/>
              </w:rPr>
              <w:t xml:space="preserve">Bereich</w:t>
            </w:r>
          </w:p>
        </w:tc>
        <w:tc>
          <w:tcPr>
            <w:tcW w:type="dxa" w:w="3626"/>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left"/>
            </w:pPr>
            <w:r>
              <w:rPr>
                <w:rFonts w:ascii="Arial" w:cs="Arial" w:eastAsia="Arial" w:hAnsi="Arial"/>
                <w:b/>
                <w:bCs/>
                <w:color w:val="FFFFFF"/>
              </w:rPr>
              <w:t xml:space="preserve">Maßnahme</w:t>
            </w:r>
          </w:p>
        </w:tc>
        <w:tc>
          <w:tcPr>
            <w:tcW w:type="dxa" w:w="2500"/>
            <w:tcBorders>
              <w:top w:val="single" w:color="D9D9D9" w:sz="1"/>
              <w:left w:val="single" w:color="D9D9D9" w:sz="1"/>
              <w:bottom w:val="single" w:color="D9D9D9" w:sz="1"/>
              <w:right w:val="single" w:color="D9D9D9" w:sz="1"/>
            </w:tcBorders>
            <w:shd w:fill="4C1D95" w:val="clear"/>
            <w:tcMar>
              <w:top w:type="dxa" w:w="60"/>
              <w:left w:type="dxa" w:w="110"/>
              <w:bottom w:type="dxa" w:w="60"/>
              <w:right w:type="dxa" w:w="110"/>
            </w:tcMar>
          </w:tcPr>
          <w:p>
            <w:pPr>
              <w:jc w:val="left"/>
            </w:pPr>
            <w:r>
              <w:rPr>
                <w:rFonts w:ascii="Arial" w:cs="Arial" w:eastAsia="Arial" w:hAnsi="Arial"/>
                <w:b/>
                <w:bCs/>
                <w:color w:val="FFFFFF"/>
              </w:rPr>
              <w:t xml:space="preserve">Nutzen</w:t>
            </w:r>
          </w:p>
        </w:tc>
      </w:tr>
      <w:tr>
        <w:tc>
          <w:tcPr>
            <w:tcW w:type="dxa" w:w="1150"/>
            <w:tcBorders>
              <w:top w:val="single" w:color="D9D9D9" w:sz="1"/>
              <w:left w:val="single" w:color="D9D9D9" w:sz="1"/>
              <w:bottom w:val="single" w:color="D9D9D9" w:sz="1"/>
              <w:right w:val="single" w:color="D9D9D9" w:sz="1"/>
            </w:tcBorders>
            <w:shd w:fill="FCE7E7" w:val="clear"/>
            <w:tcMar>
              <w:top w:type="dxa" w:w="60"/>
              <w:left w:type="dxa" w:w="110"/>
              <w:bottom w:type="dxa" w:w="60"/>
              <w:right w:type="dxa" w:w="110"/>
            </w:tcMar>
          </w:tcPr>
          <w:p>
            <w:pPr>
              <w:jc w:val="left"/>
            </w:pPr>
            <w:r>
              <w:rPr>
                <w:rFonts w:ascii="Arial" w:cs="Arial" w:eastAsia="Arial" w:hAnsi="Arial"/>
                <w:b/>
                <w:bCs/>
              </w:rPr>
              <w:t xml:space="preserve">Hoch</w:t>
            </w:r>
          </w:p>
        </w:tc>
        <w:tc>
          <w:tcPr>
            <w:tcW w:type="dxa" w:w="175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SEO</w:t>
            </w:r>
          </w:p>
        </w:tc>
        <w:tc>
          <w:tcPr>
            <w:tcW w:type="dxa" w:w="36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Product-JSON-LD auf allen 40 Seiten (aktuell 0/40)</w:t>
            </w:r>
          </w:p>
        </w:tc>
        <w:tc>
          <w:tcPr>
            <w:tcW w:type="dxa" w:w="25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Rich Snippets (Preis, Verfügbarkeit, Bewertung) in Google → mehr Klicks</w:t>
            </w:r>
          </w:p>
        </w:tc>
      </w:tr>
      <w:tr>
        <w:tc>
          <w:tcPr>
            <w:tcW w:type="dxa" w:w="1150"/>
            <w:tcBorders>
              <w:top w:val="single" w:color="D9D9D9" w:sz="1"/>
              <w:left w:val="single" w:color="D9D9D9" w:sz="1"/>
              <w:bottom w:val="single" w:color="D9D9D9" w:sz="1"/>
              <w:right w:val="single" w:color="D9D9D9" w:sz="1"/>
            </w:tcBorders>
            <w:shd w:fill="FCE7E7" w:val="clear"/>
            <w:tcMar>
              <w:top w:type="dxa" w:w="60"/>
              <w:left w:type="dxa" w:w="110"/>
              <w:bottom w:type="dxa" w:w="60"/>
              <w:right w:type="dxa" w:w="110"/>
            </w:tcMar>
          </w:tcPr>
          <w:p>
            <w:pPr>
              <w:jc w:val="left"/>
            </w:pPr>
            <w:r>
              <w:rPr>
                <w:rFonts w:ascii="Arial" w:cs="Arial" w:eastAsia="Arial" w:hAnsi="Arial"/>
                <w:b/>
                <w:bCs/>
              </w:rPr>
              <w:t xml:space="preserve">Hoch</w:t>
            </w:r>
          </w:p>
        </w:tc>
        <w:tc>
          <w:tcPr>
            <w:tcW w:type="dxa" w:w="175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Accessibility</w:t>
            </w:r>
          </w:p>
        </w:tc>
        <w:tc>
          <w:tcPr>
            <w:tcW w:type="dxa" w:w="36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Pinch-Zoom freigeben (user-scalable=no entfernen)</w:t>
            </w:r>
          </w:p>
        </w:tc>
        <w:tc>
          <w:tcPr>
            <w:tcW w:type="dxa" w:w="25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WCAG 1.4.4 erfüllt, bessere Mobile-Nutzung — 1-Zeilen-Fix</w:t>
            </w:r>
          </w:p>
        </w:tc>
      </w:tr>
      <w:tr>
        <w:tc>
          <w:tcPr>
            <w:tcW w:type="dxa" w:w="1150"/>
            <w:tcBorders>
              <w:top w:val="single" w:color="D9D9D9" w:sz="1"/>
              <w:left w:val="single" w:color="D9D9D9" w:sz="1"/>
              <w:bottom w:val="single" w:color="D9D9D9" w:sz="1"/>
              <w:right w:val="single" w:color="D9D9D9" w:sz="1"/>
            </w:tcBorders>
            <w:shd w:fill="FEF0E2" w:val="clear"/>
            <w:tcMar>
              <w:top w:type="dxa" w:w="60"/>
              <w:left w:type="dxa" w:w="110"/>
              <w:bottom w:type="dxa" w:w="60"/>
              <w:right w:type="dxa" w:w="110"/>
            </w:tcMar>
          </w:tcPr>
          <w:p>
            <w:pPr>
              <w:jc w:val="left"/>
            </w:pPr>
            <w:r>
              <w:rPr>
                <w:rFonts w:ascii="Arial" w:cs="Arial" w:eastAsia="Arial" w:hAnsi="Arial"/>
                <w:b/>
                <w:bCs/>
              </w:rPr>
              <w:t xml:space="preserve">Mittel</w:t>
            </w:r>
          </w:p>
        </w:tc>
        <w:tc>
          <w:tcPr>
            <w:tcW w:type="dxa" w:w="175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Marke / Assets</w:t>
            </w:r>
          </w:p>
        </w:tc>
        <w:tc>
          <w:tcPr>
            <w:tcW w:type="dxa" w:w="36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logo.png + favicon.ico anlegen (aktuell nur logo.jpg)</w:t>
            </w:r>
          </w:p>
        </w:tc>
        <w:tc>
          <w:tcPr>
            <w:tcW w:type="dxa" w:w="25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Korrektes Favicon &amp; Social-Vorschaubild → Markenvertrauen</w:t>
            </w:r>
          </w:p>
        </w:tc>
      </w:tr>
      <w:tr>
        <w:tc>
          <w:tcPr>
            <w:tcW w:type="dxa" w:w="1150"/>
            <w:tcBorders>
              <w:top w:val="single" w:color="D9D9D9" w:sz="1"/>
              <w:left w:val="single" w:color="D9D9D9" w:sz="1"/>
              <w:bottom w:val="single" w:color="D9D9D9" w:sz="1"/>
              <w:right w:val="single" w:color="D9D9D9" w:sz="1"/>
            </w:tcBorders>
            <w:shd w:fill="FEF0E2" w:val="clear"/>
            <w:tcMar>
              <w:top w:type="dxa" w:w="60"/>
              <w:left w:type="dxa" w:w="110"/>
              <w:bottom w:type="dxa" w:w="60"/>
              <w:right w:type="dxa" w:w="110"/>
            </w:tcMar>
          </w:tcPr>
          <w:p>
            <w:pPr>
              <w:jc w:val="left"/>
            </w:pPr>
            <w:r>
              <w:rPr>
                <w:rFonts w:ascii="Arial" w:cs="Arial" w:eastAsia="Arial" w:hAnsi="Arial"/>
                <w:b/>
                <w:bCs/>
              </w:rPr>
              <w:t xml:space="preserve">Mittel</w:t>
            </w:r>
          </w:p>
        </w:tc>
        <w:tc>
          <w:tcPr>
            <w:tcW w:type="dxa" w:w="175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Performance</w:t>
            </w:r>
          </w:p>
        </w:tc>
        <w:tc>
          <w:tcPr>
            <w:tcW w:type="dxa" w:w="36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161 Bilder → WebP, loading=lazy, width/height</w:t>
            </w:r>
          </w:p>
        </w:tc>
        <w:tc>
          <w:tcPr>
            <w:tcW w:type="dxa" w:w="25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Schnellere Ladezeit → bessere Rankings &amp; Conversion</w:t>
            </w:r>
          </w:p>
        </w:tc>
      </w:tr>
      <w:tr>
        <w:tc>
          <w:tcPr>
            <w:tcW w:type="dxa" w:w="1150"/>
            <w:tcBorders>
              <w:top w:val="single" w:color="D9D9D9" w:sz="1"/>
              <w:left w:val="single" w:color="D9D9D9" w:sz="1"/>
              <w:bottom w:val="single" w:color="D9D9D9" w:sz="1"/>
              <w:right w:val="single" w:color="D9D9D9" w:sz="1"/>
            </w:tcBorders>
            <w:shd w:fill="FEF0E2" w:val="clear"/>
            <w:tcMar>
              <w:top w:type="dxa" w:w="60"/>
              <w:left w:type="dxa" w:w="110"/>
              <w:bottom w:type="dxa" w:w="60"/>
              <w:right w:type="dxa" w:w="110"/>
            </w:tcMar>
          </w:tcPr>
          <w:p>
            <w:pPr>
              <w:jc w:val="left"/>
            </w:pPr>
            <w:r>
              <w:rPr>
                <w:rFonts w:ascii="Arial" w:cs="Arial" w:eastAsia="Arial" w:hAnsi="Arial"/>
                <w:b/>
                <w:bCs/>
              </w:rPr>
              <w:t xml:space="preserve">Mittel</w:t>
            </w:r>
          </w:p>
        </w:tc>
        <w:tc>
          <w:tcPr>
            <w:tcW w:type="dxa" w:w="175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Design</w:t>
            </w:r>
          </w:p>
        </w:tc>
        <w:tc>
          <w:tcPr>
            <w:tcW w:type="dxa" w:w="36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Ein Design-System (Tailwind projektweit) statt Tailwind + Bootstrap</w:t>
            </w:r>
          </w:p>
        </w:tc>
        <w:tc>
          <w:tcPr>
            <w:tcW w:type="dxa" w:w="25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Konsistente Premium-Marke, halbe Wartung</w:t>
            </w:r>
          </w:p>
        </w:tc>
      </w:tr>
      <w:tr>
        <w:tc>
          <w:tcPr>
            <w:tcW w:type="dxa" w:w="1150"/>
            <w:tcBorders>
              <w:top w:val="single" w:color="D9D9D9" w:sz="1"/>
              <w:left w:val="single" w:color="D9D9D9" w:sz="1"/>
              <w:bottom w:val="single" w:color="D9D9D9" w:sz="1"/>
              <w:right w:val="single" w:color="D9D9D9" w:sz="1"/>
            </w:tcBorders>
            <w:shd w:fill="FEF0E2" w:val="clear"/>
            <w:tcMar>
              <w:top w:type="dxa" w:w="60"/>
              <w:left w:type="dxa" w:w="110"/>
              <w:bottom w:type="dxa" w:w="60"/>
              <w:right w:type="dxa" w:w="110"/>
            </w:tcMar>
          </w:tcPr>
          <w:p>
            <w:pPr>
              <w:jc w:val="left"/>
            </w:pPr>
            <w:r>
              <w:rPr>
                <w:rFonts w:ascii="Arial" w:cs="Arial" w:eastAsia="Arial" w:hAnsi="Arial"/>
                <w:b/>
                <w:bCs/>
              </w:rPr>
              <w:t xml:space="preserve">Mittel</w:t>
            </w:r>
          </w:p>
        </w:tc>
        <w:tc>
          <w:tcPr>
            <w:tcW w:type="dxa" w:w="175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Conversion</w:t>
            </w:r>
          </w:p>
        </w:tc>
        <w:tc>
          <w:tcPr>
            <w:tcW w:type="dxa" w:w="36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Kundenbewertungen / Sterne einführen</w:t>
            </w:r>
          </w:p>
        </w:tc>
        <w:tc>
          <w:tcPr>
            <w:tcW w:type="dxa" w:w="25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Social Proof → höhere Conversion &amp; Vertrauen</w:t>
            </w:r>
          </w:p>
        </w:tc>
      </w:tr>
      <w:tr>
        <w:tc>
          <w:tcPr>
            <w:tcW w:type="dxa" w:w="1150"/>
            <w:tcBorders>
              <w:top w:val="single" w:color="D9D9D9" w:sz="1"/>
              <w:left w:val="single" w:color="D9D9D9" w:sz="1"/>
              <w:bottom w:val="single" w:color="D9D9D9" w:sz="1"/>
              <w:right w:val="single" w:color="D9D9D9" w:sz="1"/>
            </w:tcBorders>
            <w:shd w:fill="FEF9E7" w:val="clear"/>
            <w:tcMar>
              <w:top w:type="dxa" w:w="60"/>
              <w:left w:type="dxa" w:w="110"/>
              <w:bottom w:type="dxa" w:w="60"/>
              <w:right w:type="dxa" w:w="110"/>
            </w:tcMar>
          </w:tcPr>
          <w:p>
            <w:pPr>
              <w:jc w:val="left"/>
            </w:pPr>
            <w:r>
              <w:rPr>
                <w:rFonts w:ascii="Arial" w:cs="Arial" w:eastAsia="Arial" w:hAnsi="Arial"/>
                <w:b/>
                <w:bCs/>
              </w:rPr>
              <w:t xml:space="preserve">Niedrig</w:t>
            </w:r>
          </w:p>
        </w:tc>
        <w:tc>
          <w:tcPr>
            <w:tcW w:type="dxa" w:w="175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Retention</w:t>
            </w:r>
          </w:p>
        </w:tc>
        <w:tc>
          <w:tcPr>
            <w:tcW w:type="dxa" w:w="36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Warenkorbabbruch-Mails (Abbruch wird bereits getrackt)</w:t>
            </w:r>
          </w:p>
        </w:tc>
        <w:tc>
          <w:tcPr>
            <w:tcW w:type="dxa" w:w="25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Verlorene Käufe automatisiert zurückholen</w:t>
            </w:r>
          </w:p>
        </w:tc>
      </w:tr>
      <w:tr>
        <w:tc>
          <w:tcPr>
            <w:tcW w:type="dxa" w:w="1150"/>
            <w:tcBorders>
              <w:top w:val="single" w:color="D9D9D9" w:sz="1"/>
              <w:left w:val="single" w:color="D9D9D9" w:sz="1"/>
              <w:bottom w:val="single" w:color="D9D9D9" w:sz="1"/>
              <w:right w:val="single" w:color="D9D9D9" w:sz="1"/>
            </w:tcBorders>
            <w:shd w:fill="FEF9E7" w:val="clear"/>
            <w:tcMar>
              <w:top w:type="dxa" w:w="60"/>
              <w:left w:type="dxa" w:w="110"/>
              <w:bottom w:type="dxa" w:w="60"/>
              <w:right w:type="dxa" w:w="110"/>
            </w:tcMar>
          </w:tcPr>
          <w:p>
            <w:pPr>
              <w:jc w:val="left"/>
            </w:pPr>
            <w:r>
              <w:rPr>
                <w:rFonts w:ascii="Arial" w:cs="Arial" w:eastAsia="Arial" w:hAnsi="Arial"/>
                <w:b/>
                <w:bCs/>
              </w:rPr>
              <w:t xml:space="preserve">Niedrig</w:t>
            </w:r>
          </w:p>
        </w:tc>
        <w:tc>
          <w:tcPr>
            <w:tcW w:type="dxa" w:w="175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Daten</w:t>
            </w:r>
          </w:p>
        </w:tc>
        <w:tc>
          <w:tcPr>
            <w:tcW w:type="dxa" w:w="3626"/>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Kaufpreise der 17 ALI-Produkte nachtragen</w:t>
            </w:r>
          </w:p>
        </w:tc>
        <w:tc>
          <w:tcPr>
            <w:tcW w:type="dxa" w:w="2500"/>
            <w:tcBorders>
              <w:top w:val="single" w:color="D9D9D9" w:sz="1"/>
              <w:left w:val="single" w:color="D9D9D9" w:sz="1"/>
              <w:bottom w:val="single" w:color="D9D9D9" w:sz="1"/>
              <w:right w:val="single" w:color="D9D9D9" w:sz="1"/>
            </w:tcBorders>
            <w:tcMar>
              <w:top w:type="dxa" w:w="60"/>
              <w:left w:type="dxa" w:w="110"/>
              <w:bottom w:type="dxa" w:w="60"/>
              <w:right w:type="dxa" w:w="110"/>
            </w:tcMar>
          </w:tcPr>
          <w:p>
            <w:pPr>
              <w:jc w:val="left"/>
            </w:pPr>
            <w:r>
              <w:rPr>
                <w:rFonts w:ascii="Arial" w:cs="Arial" w:eastAsia="Arial" w:hAnsi="Arial"/>
              </w:rPr>
              <w:t xml:space="preserve">Margen-Transparenz über das gesamte Sortiment</w:t>
            </w:r>
          </w:p>
        </w:tc>
      </w:tr>
    </w:tbl>
    <w:p>
      <w:pPr>
        <w:pStyle w:val="Heading1"/>
        <w:spacing w:after="140" w:before="280"/>
      </w:pPr>
      <w:r>
        <w:rPr>
          <w:rFonts w:ascii="Arial" w:cs="Arial" w:eastAsia="Arial" w:hAnsi="Arial"/>
        </w:rPr>
        <w:t xml:space="preserve">6. Wie wir erfolgreich werden</w:t>
      </w:r>
    </w:p>
    <w:p>
      <w:pPr>
        <w:spacing w:after="120" w:line="264"/>
      </w:pPr>
      <w:r>
        <w:rPr>
          <w:rFonts w:ascii="Arial" w:cs="Arial" w:eastAsia="Arial" w:hAnsi="Arial"/>
        </w:rPr>
        <w:t xml:space="preserve">Der Shop steht technisch. Erfolg entsteht jetzt entlang von fünf Hebeln — in dieser Reihenfolge:</w:t>
      </w:r>
    </w:p>
    <w:p>
      <w:pPr>
        <w:pStyle w:val="Heading2"/>
        <w:spacing w:after="100" w:before="220"/>
      </w:pPr>
      <w:r>
        <w:rPr>
          <w:rFonts w:ascii="Arial" w:cs="Arial" w:eastAsia="Arial" w:hAnsi="Arial"/>
        </w:rPr>
        <w:t xml:space="preserve">6.1 Reichweite (Traffic)</w:t>
      </w:r>
    </w:p>
    <w:p>
      <w:pPr>
        <w:pStyle w:val="ListParagraph"/>
        <w:numPr>
          <w:ilvl w:val="0"/>
          <w:numId w:val="2"/>
        </w:numPr>
        <w:spacing w:after="70" w:line="264"/>
      </w:pPr>
      <w:r>
        <w:rPr>
          <w:rFonts w:ascii="Arial" w:cs="Arial" w:eastAsia="Arial" w:hAnsi="Arial"/>
          <w:b/>
          <w:bCs/>
        </w:rPr>
        <w:t xml:space="preserve">Organisches Kurzvideo zuerst. </w:t>
      </w:r>
      <w:r>
        <w:rPr>
          <w:rFonts w:ascii="Arial" w:cs="Arial" w:eastAsia="Arial" w:hAnsi="Arial"/>
        </w:rPr>
        <w:t xml:space="preserve">Die vorhandene TikTok-Creative-Pipeline (Marketing/) ist das stärkste, günstigste Wachstums-Asset. Ziel: tägliche/feste Posting-Frequenz, 3–5 Produkt-Hooks pro Woche testen.</w:t>
      </w:r>
    </w:p>
    <w:p>
      <w:pPr>
        <w:pStyle w:val="ListParagraph"/>
        <w:numPr>
          <w:ilvl w:val="0"/>
          <w:numId w:val="2"/>
        </w:numPr>
        <w:spacing w:after="70" w:line="264"/>
      </w:pPr>
      <w:r>
        <w:rPr>
          <w:rFonts w:ascii="Arial" w:cs="Arial" w:eastAsia="Arial" w:hAnsi="Arial"/>
          <w:b/>
          <w:bCs/>
        </w:rPr>
        <w:t xml:space="preserve">SEO ausbauen. </w:t>
      </w:r>
      <w:r>
        <w:rPr>
          <w:rFonts w:ascii="Arial" w:cs="Arial" w:eastAsia="Arial" w:hAnsi="Arial"/>
        </w:rPr>
        <w:t xml:space="preserve">Meta-Basics stehen — jetzt Product-JSON-LD ergänzen und Kategorie-/Ratgeber-Inhalte aufbauen, um langfristig kostenlosen Google-Traffic zu gewinnen.</w:t>
      </w:r>
    </w:p>
    <w:p>
      <w:pPr>
        <w:pStyle w:val="ListParagraph"/>
        <w:numPr>
          <w:ilvl w:val="0"/>
          <w:numId w:val="2"/>
        </w:numPr>
        <w:spacing w:after="70" w:line="264"/>
      </w:pPr>
      <w:r>
        <w:rPr>
          <w:rFonts w:ascii="Arial" w:cs="Arial" w:eastAsia="Arial" w:hAnsi="Arial"/>
          <w:b/>
          <w:bCs/>
        </w:rPr>
        <w:t xml:space="preserve">Bezahlt erst nach Signal. </w:t>
      </w:r>
      <w:r>
        <w:rPr>
          <w:rFonts w:ascii="Arial" w:cs="Arial" w:eastAsia="Arial" w:hAnsi="Arial"/>
        </w:rPr>
        <w:t xml:space="preserve">Wenn ein Produkt organisch zieht, mit kleinem Budget (Meta/TikTok Ads) skalieren — nicht umgekehrt. Budget streng an die Stückkosten-Rechnung koppeln.</w:t>
      </w:r>
    </w:p>
    <w:p>
      <w:pPr>
        <w:pStyle w:val="Heading2"/>
        <w:spacing w:after="100" w:before="220"/>
      </w:pPr>
      <w:r>
        <w:rPr>
          <w:rFonts w:ascii="Arial" w:cs="Arial" w:eastAsia="Arial" w:hAnsi="Arial"/>
        </w:rPr>
        <w:t xml:space="preserve">6.2 Conversion (aus Besuchern Käufer machen)</w:t>
      </w:r>
    </w:p>
    <w:p>
      <w:pPr>
        <w:pStyle w:val="ListParagraph"/>
        <w:numPr>
          <w:ilvl w:val="0"/>
          <w:numId w:val="2"/>
        </w:numPr>
        <w:spacing w:after="70" w:line="264"/>
      </w:pPr>
      <w:r>
        <w:rPr>
          <w:rFonts w:ascii="Arial" w:cs="Arial" w:eastAsia="Arial" w:hAnsi="Arial"/>
          <w:b/>
          <w:bCs/>
        </w:rPr>
        <w:t xml:space="preserve">Vertrauen sichtbar machen. </w:t>
      </w:r>
      <w:r>
        <w:rPr>
          <w:rFonts w:ascii="Arial" w:cs="Arial" w:eastAsia="Arial" w:hAnsi="Arial"/>
        </w:rPr>
        <w:t xml:space="preserve">Bewertungen/Sterne, Zahlungslogos, klare Versandkosten/-zeit und das 30-Tage-Rückgaberecht prominent platzieren.</w:t>
      </w:r>
    </w:p>
    <w:p>
      <w:pPr>
        <w:pStyle w:val="ListParagraph"/>
        <w:numPr>
          <w:ilvl w:val="0"/>
          <w:numId w:val="2"/>
        </w:numPr>
        <w:spacing w:after="70" w:line="264"/>
      </w:pPr>
      <w:r>
        <w:rPr>
          <w:rFonts w:ascii="Arial" w:cs="Arial" w:eastAsia="Arial" w:hAnsi="Arial"/>
          <w:b/>
          <w:bCs/>
        </w:rPr>
        <w:t xml:space="preserve">Tempo &amp; Mobile. </w:t>
      </w:r>
      <w:r>
        <w:rPr>
          <w:rFonts w:ascii="Arial" w:cs="Arial" w:eastAsia="Arial" w:hAnsi="Arial"/>
        </w:rPr>
        <w:t xml:space="preserve">Bildoptimierung (WebP) und ein einheitliches, schnelles Design — der Großteil des Traffics kommt mobil über Social.</w:t>
      </w:r>
    </w:p>
    <w:p>
      <w:pPr>
        <w:pStyle w:val="ListParagraph"/>
        <w:numPr>
          <w:ilvl w:val="0"/>
          <w:numId w:val="2"/>
        </w:numPr>
        <w:spacing w:after="70" w:line="264"/>
      </w:pPr>
      <w:r>
        <w:rPr>
          <w:rFonts w:ascii="Arial" w:cs="Arial" w:eastAsia="Arial" w:hAnsi="Arial"/>
          <w:b/>
          <w:bCs/>
        </w:rPr>
        <w:t xml:space="preserve">Marke konsistent halten. </w:t>
      </w:r>
      <w:r>
        <w:rPr>
          <w:rFonts w:ascii="Arial" w:cs="Arial" w:eastAsia="Arial" w:hAnsi="Arial"/>
        </w:rPr>
        <w:t xml:space="preserve">Der Bruch zwischen hochwertiger Startseite und biederen Bootstrap-Produktseiten kostet Conversion — vereinheitlichen.</w:t>
      </w:r>
    </w:p>
    <w:p>
      <w:pPr>
        <w:pStyle w:val="Heading2"/>
        <w:spacing w:after="100" w:before="220"/>
      </w:pPr>
      <w:r>
        <w:rPr>
          <w:rFonts w:ascii="Arial" w:cs="Arial" w:eastAsia="Arial" w:hAnsi="Arial"/>
        </w:rPr>
        <w:t xml:space="preserve">6.3 Bindung &amp; Wiederkauf (Retention/LTV)</w:t>
      </w:r>
    </w:p>
    <w:p>
      <w:pPr>
        <w:pStyle w:val="ListParagraph"/>
        <w:numPr>
          <w:ilvl w:val="0"/>
          <w:numId w:val="2"/>
        </w:numPr>
        <w:spacing w:after="70" w:line="264"/>
      </w:pPr>
      <w:r>
        <w:rPr>
          <w:rFonts w:ascii="Arial" w:cs="Arial" w:eastAsia="Arial" w:hAnsi="Arial"/>
          <w:b/>
          <w:bCs/>
        </w:rPr>
        <w:t xml:space="preserve">Newsletter aktiv nutzen. </w:t>
      </w:r>
      <w:r>
        <w:rPr>
          <w:rFonts w:ascii="Arial" w:cs="Arial" w:eastAsia="Arial" w:hAnsi="Arial"/>
        </w:rPr>
        <w:t xml:space="preserve">Double-Opt-In ist gebaut — jetzt regelmäßige Aktionen/Broadcasts und eine Willkommens-Strecke aufsetzen.</w:t>
      </w:r>
    </w:p>
    <w:p>
      <w:pPr>
        <w:pStyle w:val="ListParagraph"/>
        <w:numPr>
          <w:ilvl w:val="0"/>
          <w:numId w:val="2"/>
        </w:numPr>
        <w:spacing w:after="70" w:line="264"/>
      </w:pPr>
      <w:r>
        <w:rPr>
          <w:rFonts w:ascii="Arial" w:cs="Arial" w:eastAsia="Arial" w:hAnsi="Arial"/>
          <w:b/>
          <w:bCs/>
        </w:rPr>
        <w:t xml:space="preserve">Warenkorbabbrüche zurückholen. </w:t>
      </w:r>
      <w:r>
        <w:rPr>
          <w:rFonts w:ascii="Arial" w:cs="Arial" w:eastAsia="Arial" w:hAnsi="Arial"/>
        </w:rPr>
        <w:t xml:space="preserve">Abbrüche werden bereits getrackt; eine automatische Erinnerungs-Mail holt einen Teil der verlorenen Käufe zurück.</w:t>
      </w:r>
    </w:p>
    <w:p>
      <w:pPr>
        <w:pStyle w:val="Heading2"/>
        <w:spacing w:after="100" w:before="220"/>
      </w:pPr>
      <w:r>
        <w:rPr>
          <w:rFonts w:ascii="Arial" w:cs="Arial" w:eastAsia="Arial" w:hAnsi="Arial"/>
        </w:rPr>
        <w:t xml:space="preserve">6.4 Marge &amp; Wirtschaftlichkeit</w:t>
      </w:r>
    </w:p>
    <w:p>
      <w:pPr>
        <w:pStyle w:val="ListParagraph"/>
        <w:numPr>
          <w:ilvl w:val="0"/>
          <w:numId w:val="2"/>
        </w:numPr>
        <w:spacing w:after="70" w:line="264"/>
      </w:pPr>
      <w:r>
        <w:rPr>
          <w:rFonts w:ascii="Arial" w:cs="Arial" w:eastAsia="Arial" w:hAnsi="Arial"/>
          <w:b/>
          <w:bCs/>
        </w:rPr>
        <w:t xml:space="preserve">Margen-Disziplin halten. </w:t>
      </w:r>
      <w:r>
        <w:rPr>
          <w:rFonts w:ascii="Arial" w:cs="Arial" w:eastAsia="Arial" w:hAnsi="Arial"/>
        </w:rPr>
        <w:t xml:space="preserve">Die neue Regel (≥ 30 % Marge nach 20 % Rabatt) beibehalten; teure Elektronik bei Bedarf vom Gutschein ausnehmen statt den Preis zu sprengen.</w:t>
      </w:r>
    </w:p>
    <w:p>
      <w:pPr>
        <w:pStyle w:val="ListParagraph"/>
        <w:numPr>
          <w:ilvl w:val="0"/>
          <w:numId w:val="2"/>
        </w:numPr>
        <w:spacing w:after="70" w:line="264"/>
      </w:pPr>
      <w:r>
        <w:rPr>
          <w:rFonts w:ascii="Arial" w:cs="Arial" w:eastAsia="Arial" w:hAnsi="Arial"/>
          <w:b/>
          <w:bCs/>
        </w:rPr>
        <w:t xml:space="preserve">Stückkosten ehrlich rechnen. </w:t>
      </w:r>
      <w:r>
        <w:rPr>
          <w:rFonts w:ascii="Arial" w:cs="Arial" w:eastAsia="Arial" w:hAnsi="Arial"/>
        </w:rPr>
        <w:t xml:space="preserve">Produktkosten + Versand + Zahlungsgebühr + anteilige Werbekosten = echter Deckungsbeitrag. Nur skalieren, was nach Werbung profitabel ist.</w:t>
      </w:r>
    </w:p>
    <w:p>
      <w:pPr>
        <w:pStyle w:val="Heading2"/>
        <w:spacing w:after="100" w:before="220"/>
      </w:pPr>
      <w:r>
        <w:rPr>
          <w:rFonts w:ascii="Arial" w:cs="Arial" w:eastAsia="Arial" w:hAnsi="Arial"/>
        </w:rPr>
        <w:t xml:space="preserve">6.5 Datengetrieben entscheiden</w:t>
      </w:r>
    </w:p>
    <w:p>
      <w:pPr>
        <w:pStyle w:val="ListParagraph"/>
        <w:numPr>
          <w:ilvl w:val="0"/>
          <w:numId w:val="2"/>
        </w:numPr>
        <w:spacing w:after="70" w:line="264"/>
      </w:pPr>
      <w:r>
        <w:rPr>
          <w:rFonts w:ascii="Arial" w:cs="Arial" w:eastAsia="Arial" w:hAnsi="Arial"/>
          <w:b/>
          <w:bCs/>
        </w:rPr>
        <w:t xml:space="preserve">Dashboard wöchentlich lesen. </w:t>
      </w:r>
      <w:r>
        <w:rPr>
          <w:rFonts w:ascii="Arial" w:cs="Arial" w:eastAsia="Arial" w:hAnsi="Arial"/>
        </w:rPr>
        <w:t xml:space="preserve">Conversion-Funnel, Geräte/Regionen und Tagesmuster zeigen, wo es klemmt.</w:t>
      </w:r>
    </w:p>
    <w:p>
      <w:pPr>
        <w:pStyle w:val="ListParagraph"/>
        <w:numPr>
          <w:ilvl w:val="0"/>
          <w:numId w:val="2"/>
        </w:numPr>
        <w:spacing w:after="70" w:line="264"/>
      </w:pPr>
      <w:r>
        <w:rPr>
          <w:rFonts w:ascii="Arial" w:cs="Arial" w:eastAsia="Arial" w:hAnsi="Arial"/>
          <w:b/>
          <w:bCs/>
        </w:rPr>
        <w:t xml:space="preserve">Suchlücken in Produkte verwandeln. </w:t>
      </w:r>
      <w:r>
        <w:rPr>
          <w:rFonts w:ascii="Arial" w:cs="Arial" w:eastAsia="Arial" w:hAnsi="Arial"/>
        </w:rPr>
        <w:t xml:space="preserve">Null-Treffer-Suchbegriffe sind kostenlose Hinweise, welche Produkte Kunden vermissen.</w:t>
      </w:r>
    </w:p>
    <w:p>
      <w:pPr>
        <w:pStyle w:val="Heading1"/>
        <w:spacing w:after="140" w:before="280"/>
      </w:pPr>
      <w:r>
        <w:rPr>
          <w:rFonts w:ascii="Arial" w:cs="Arial" w:eastAsia="Arial" w:hAnsi="Arial"/>
        </w:rPr>
        <w:t xml:space="preserve">7. Priorisierte nächste Schritte</w:t>
      </w:r>
    </w:p>
    <w:p>
      <w:pPr>
        <w:pStyle w:val="ListParagraph"/>
        <w:numPr>
          <w:ilvl w:val="0"/>
          <w:numId w:val="3"/>
        </w:numPr>
        <w:spacing w:after="70" w:line="264"/>
      </w:pPr>
      <w:r>
        <w:rPr>
          <w:rFonts w:ascii="Arial" w:cs="Arial" w:eastAsia="Arial" w:hAnsi="Arial"/>
        </w:rPr>
        <w:t xml:space="preserve">Quick-Wins (diese Woche): Zoom-Freigabe, logo.png/favicon.ico, Product-JSON-LD, Bildoptimierung (WebP).</w:t>
      </w:r>
    </w:p>
    <w:p>
      <w:pPr>
        <w:pStyle w:val="ListParagraph"/>
        <w:numPr>
          <w:ilvl w:val="0"/>
          <w:numId w:val="3"/>
        </w:numPr>
        <w:spacing w:after="70" w:line="264"/>
      </w:pPr>
      <w:r>
        <w:rPr>
          <w:rFonts w:ascii="Arial" w:cs="Arial" w:eastAsia="Arial" w:hAnsi="Arial"/>
        </w:rPr>
        <w:t xml:space="preserve">TikTok-Posting-Rhythmus starten und 3–5 Produkt-Hooks testen; Dashboard-Wochenritual etablieren.</w:t>
      </w:r>
    </w:p>
    <w:p>
      <w:pPr>
        <w:pStyle w:val="ListParagraph"/>
        <w:numPr>
          <w:ilvl w:val="0"/>
          <w:numId w:val="3"/>
        </w:numPr>
        <w:spacing w:after="70" w:line="264"/>
      </w:pPr>
      <w:r>
        <w:rPr>
          <w:rFonts w:ascii="Arial" w:cs="Arial" w:eastAsia="Arial" w:hAnsi="Arial"/>
        </w:rPr>
        <w:t xml:space="preserve">Kundenbewertungen + Trust-Elemente einbauen; Design-System vereinheitlichen.</w:t>
      </w:r>
    </w:p>
    <w:p>
      <w:pPr>
        <w:pStyle w:val="ListParagraph"/>
        <w:numPr>
          <w:ilvl w:val="0"/>
          <w:numId w:val="3"/>
        </w:numPr>
        <w:spacing w:after="70" w:line="264"/>
      </w:pPr>
      <w:r>
        <w:rPr>
          <w:rFonts w:ascii="Arial" w:cs="Arial" w:eastAsia="Arial" w:hAnsi="Arial"/>
        </w:rPr>
        <w:t xml:space="preserve">Warenkorbabbruch- und Willkommens-Mails automatisieren; ALI-Kostendaten ergänzen.</w:t>
      </w:r>
    </w:p>
    <w:p>
      <w:pPr>
        <w:pStyle w:val="ListParagraph"/>
        <w:numPr>
          <w:ilvl w:val="0"/>
          <w:numId w:val="3"/>
        </w:numPr>
        <w:spacing w:after="70" w:line="264"/>
      </w:pPr>
      <w:r>
        <w:rPr>
          <w:rFonts w:ascii="Arial" w:cs="Arial" w:eastAsia="Arial" w:hAnsi="Arial"/>
        </w:rPr>
        <w:t xml:space="preserve">Ersten organisch ziehenden Artikel identifizieren und mit kleinem Ad-Budget testen.</w:t>
      </w:r>
    </w:p>
    <w:p>
      <w:pPr>
        <w:spacing w:after="60"/>
      </w:pPr>
      <w:r>
        <w:rPr>
          <w:rFonts w:ascii="Arial" w:cs="Arial" w:eastAsia="Arial" w:hAnsi="Arial"/>
        </w:rPr>
        <w:t xml:space="preserve"/>
      </w:r>
    </w:p>
    <w:p>
      <w:pPr>
        <w:pBdr>
          <w:top w:val="single" w:color="D9D9D9" w:sz="6" w:space="6"/>
        </w:pBdr>
        <w:spacing w:before="120"/>
      </w:pPr>
      <w:r>
        <w:rPr>
          <w:rFonts w:ascii="Arial" w:cs="Arial" w:eastAsia="Arial" w:hAnsi="Arial"/>
          <w:b/>
          <w:bCs/>
        </w:rPr>
        <w:t xml:space="preserve">Fazit: </w:t>
      </w:r>
      <w:r>
        <w:rPr>
          <w:rFonts w:ascii="Arial" w:cs="Arial" w:eastAsia="Arial" w:hAnsi="Arial"/>
          <w:i/>
          <w:iCs/>
        </w:rPr>
        <w:t xml:space="preserve">Die Bau-Phase ist geschafft — der Shop ist live, rechtssicher und messbar. Der Erfolg entscheidet sich jetzt an Reichweite und Conversion. Mit der TikTok-Pipeline, sauberen Margen und dem vorhandenen Dashboard sind die Werkzeuge dafür bereits da.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Maios Shop · Statusbericht 24.06.2026 · Seite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E9FE" w:sz="8" w:space="4"/>
      </w:pBdr>
      <w:spacing w:after="140" w:before="280"/>
      <w:outlineLvl w:val="0"/>
    </w:pPr>
    <w:rPr>
      <w:rFonts w:ascii="Arial" w:cs="Arial" w:eastAsia="Arial" w:hAnsi="Arial"/>
      <w:b/>
      <w:bCs/>
      <w:color w:val="6D28D9"/>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F2937"/>
      <w:sz w:val="25"/>
      <w:szCs w:val="25"/>
    </w:rPr>
  </w:style>
  <w:style w:type="paragraph" w:styleId="Heading3">
    <w:name w:val="Heading 3"/>
    <w:basedOn w:val="Normal"/>
    <w:next w:val="Normal"/>
    <w:qFormat/>
    <w:pPr>
      <w:spacing w:after="70" w:before="150"/>
      <w:outlineLvl w:val="2"/>
    </w:pPr>
    <w:rPr>
      <w:rFonts w:ascii="Arial" w:cs="Arial" w:eastAsia="Arial" w:hAnsi="Arial"/>
      <w:b/>
      <w:bCs/>
      <w:color w:val="4C1D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Maios Shop – Statusbericht &amp; Strategie</dc:title>
  <dc:creator>Maios</dc:creator>
  <cp:lastModifiedBy>Un-named</cp:lastModifiedBy>
  <cp:revision>1</cp:revision>
  <dcterms:created xsi:type="dcterms:W3CDTF">2026-06-24T21:31:13.313Z</dcterms:created>
  <dcterms:modified xsi:type="dcterms:W3CDTF">2026-06-24T21:31:13.313Z</dcterms:modified>
</cp:coreProperties>
</file>

<file path=docProps/custom.xml><?xml version="1.0" encoding="utf-8"?>
<Properties xmlns="http://schemas.openxmlformats.org/officeDocument/2006/custom-properties" xmlns:vt="http://schemas.openxmlformats.org/officeDocument/2006/docPropsVTypes"/>
</file>