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Канева,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мониторингом очередей, TCP, дисциплиной RED, сравнить различные протоколы.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имеющейся модели изменить тип протокола с Reno на NewReno, а затем на Vegas, сравнить. Также, внести изменения при отображении окон с графиками.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создала файл с уже описанным в тексте кодом, запустила, чтобы сделать модель, отвечающую следующим требованиям:</w:t>
      </w:r>
    </w:p>
    <w:p>
      <w:pPr>
        <w:numPr>
          <w:ilvl w:val="0"/>
          <w:numId w:val="1001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1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1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1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1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Получились следующие графики (рис. [</w:t>
      </w:r>
      <w:hyperlink w:anchor="fig:1">
        <w:r>
          <w:rPr>
            <w:rStyle w:val="Hyperlink"/>
          </w:rPr>
          <w:t xml:space="preserve">1</w:t>
        </w:r>
      </w:hyperlink>
      <w:r>
        <w:t xml:space="preserve">] и [</w:t>
      </w:r>
      <w:hyperlink w:anchor="fig: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5334000" cy="5653867"/>
            <wp:effectExtent b="0" l="0" r="0" t="0"/>
            <wp:docPr descr="Figure 1: Изменение длины очереди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длины очереди.</w:t>
      </w:r>
    </w:p>
    <w:bookmarkEnd w:id="0"/>
    <w:bookmarkStart w:id="0" w:name="fig:2"/>
    <w:p>
      <w:pPr>
        <w:pStyle w:val="CaptionedFigure"/>
      </w:pPr>
      <w:bookmarkStart w:id="30" w:name="fig:2"/>
      <w:r>
        <w:drawing>
          <wp:inline>
            <wp:extent cx="5334000" cy="5578839"/>
            <wp:effectExtent b="0" l="0" r="0" t="0"/>
            <wp:docPr descr="Figure 2: Изменение TCP-окна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Изменение TCP-окна.</w:t>
      </w:r>
    </w:p>
    <w:bookmarkEnd w:id="0"/>
    <w:p>
      <w:pPr>
        <w:pStyle w:val="BodyText"/>
      </w:pPr>
      <w:r>
        <w:t xml:space="preserve">Далее, следуя заданию, изменим Reno для s1 на NewReno. Для этого изменила следующую часть кода:</w:t>
      </w:r>
    </w:p>
    <w:p>
      <w:pPr>
        <w:pStyle w:val="SourceCode"/>
      </w:pPr>
      <w:r>
        <w:rPr>
          <w:rStyle w:val="VerbatimChar"/>
        </w:rPr>
        <w:t xml:space="preserve">set tcp1 [$ns create-connection TCP/Newreno $node_(s1) TCPSink $node_(s3) 0]</w:t>
      </w:r>
    </w:p>
    <w:p>
      <w:pPr>
        <w:pStyle w:val="FirstParagraph"/>
      </w:pPr>
      <w:r>
        <w:t xml:space="preserve">Получились следующие графики (рис. [</w:t>
      </w:r>
      <w:hyperlink w:anchor="fig:3">
        <w:r>
          <w:rPr>
            <w:rStyle w:val="Hyperlink"/>
          </w:rPr>
          <w:t xml:space="preserve">3</w:t>
        </w:r>
      </w:hyperlink>
      <w:r>
        <w:t xml:space="preserve">] и [</w:t>
      </w:r>
      <w:hyperlink w:anchor="fig: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3"/>
    <w:p>
      <w:pPr>
        <w:pStyle w:val="CaptionedFigure"/>
      </w:pPr>
      <w:bookmarkStart w:id="34" w:name="fig:3"/>
      <w:r>
        <w:drawing>
          <wp:inline>
            <wp:extent cx="5334000" cy="5421156"/>
            <wp:effectExtent b="0" l="0" r="0" t="0"/>
            <wp:docPr descr="Figure 3: Изменение длины очереди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длины очереди.</w:t>
      </w:r>
    </w:p>
    <w:bookmarkEnd w:id="0"/>
    <w:bookmarkStart w:id="0" w:name="fig:4"/>
    <w:p>
      <w:pPr>
        <w:pStyle w:val="CaptionedFigure"/>
      </w:pPr>
      <w:bookmarkStart w:id="38" w:name="fig:4"/>
      <w:r>
        <w:drawing>
          <wp:inline>
            <wp:extent cx="5334000" cy="5571261"/>
            <wp:effectExtent b="0" l="0" r="0" t="0"/>
            <wp:docPr descr="Figure 4: Изменение TCP-окна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TCP-окна.</w:t>
      </w:r>
    </w:p>
    <w:bookmarkEnd w:id="0"/>
    <w:p>
      <w:pPr>
        <w:pStyle w:val="BodyText"/>
      </w:pPr>
      <w:r>
        <w:t xml:space="preserve">Далее, следуя заданию, изменим Newreno для s1 на Vegas. Для этого изменила следующую часть кода:</w:t>
      </w:r>
    </w:p>
    <w:p>
      <w:pPr>
        <w:pStyle w:val="SourceCode"/>
      </w:pPr>
      <w:r>
        <w:rPr>
          <w:rStyle w:val="VerbatimChar"/>
        </w:rPr>
        <w:t xml:space="preserve">set tcp1 [$ns create-connection TCP/Vegas $node_(s1) TCPSink $node_(s3) 0]</w:t>
      </w:r>
    </w:p>
    <w:p>
      <w:pPr>
        <w:pStyle w:val="FirstParagraph"/>
      </w:pPr>
      <w:r>
        <w:t xml:space="preserve">Получились следующие графики (рис. [</w:t>
      </w:r>
      <w:hyperlink w:anchor="fig:5">
        <w:r>
          <w:rPr>
            <w:rStyle w:val="Hyperlink"/>
          </w:rPr>
          <w:t xml:space="preserve">5</w:t>
        </w:r>
      </w:hyperlink>
      <w:r>
        <w:t xml:space="preserve">] и [</w:t>
      </w:r>
      <w:hyperlink w:anchor="fig:6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5334000" cy="5508029"/>
            <wp:effectExtent b="0" l="0" r="0" t="0"/>
            <wp:docPr descr="Figure 5: Изменение длины очереди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длины очереди.</w:t>
      </w:r>
    </w:p>
    <w:bookmarkEnd w:id="0"/>
    <w:bookmarkStart w:id="0" w:name="fig:6"/>
    <w:p>
      <w:pPr>
        <w:pStyle w:val="CaptionedFigure"/>
      </w:pPr>
      <w:bookmarkStart w:id="46" w:name="fig:6"/>
      <w:r>
        <w:drawing>
          <wp:inline>
            <wp:extent cx="5334000" cy="5517931"/>
            <wp:effectExtent b="0" l="0" r="0" t="0"/>
            <wp:docPr descr="Figure 6: Изменение TCP-окна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TCP-окна.</w:t>
      </w:r>
    </w:p>
    <w:bookmarkEnd w:id="0"/>
    <w:p>
      <w:pPr>
        <w:pStyle w:val="BodyText"/>
      </w:pPr>
      <w:r>
        <w:t xml:space="preserve">По графикам видно, что средняя длина очереди почти не поменялась, она так и лежит в пределах 3. Однако на графике изменения окна видно, что максимальное значение у Vegas значительно меньше, а значит Vegas лучше обрабатывает большую нагрузку и теряет меньше пакетов.</w:t>
      </w:r>
    </w:p>
    <w:p>
      <w:pPr>
        <w:pStyle w:val="BodyText"/>
      </w:pPr>
      <w:r>
        <w:t xml:space="preserve">Далее я внесла изменения при отображении окон с графиками (измените цвет фона, цвет траекторий, подписи к осям, подпись траектории в легенде). Для этого внесла изменения в процедуру finish:</w:t>
      </w:r>
    </w:p>
    <w:p>
      <w:pPr>
        <w:pStyle w:val="SourceCode"/>
      </w:pP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puts $f "0.Color: Blue"</w:t>
      </w:r>
      <w:r>
        <w:br/>
      </w:r>
      <w:r>
        <w:rPr>
          <w:rStyle w:val="VerbatimChar"/>
        </w:rPr>
        <w:t xml:space="preserve">  puts $f "1.Color: Green"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\"Ochered"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\n\"Sr_Ochered"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-fg red -bg pink -bb -tk -x time -t "TCPRenoCWND" WindowVsTimeReno &amp;</w:t>
      </w:r>
      <w:r>
        <w:br/>
      </w:r>
      <w:r>
        <w:rPr>
          <w:rStyle w:val="VerbatimChar"/>
        </w:rPr>
        <w:t xml:space="preserve">  exec xgraph -fg white -bg pink -bb -tk -x time -y ochered temp.queue &amp;</w:t>
      </w:r>
      <w:r>
        <w:br/>
      </w:r>
      <w:r>
        <w:rPr>
          <w:rStyle w:val="VerbatimChar"/>
        </w:rPr>
        <w:t xml:space="preserve">  exit 0</w:t>
      </w:r>
    </w:p>
    <w:p>
      <w:pPr>
        <w:pStyle w:val="FirstParagraph"/>
      </w:pPr>
      <w:r>
        <w:t xml:space="preserve">Получились следующие графики (рис. [</w:t>
      </w:r>
      <w:hyperlink w:anchor="fig:7">
        <w:r>
          <w:rPr>
            <w:rStyle w:val="Hyperlink"/>
          </w:rPr>
          <w:t xml:space="preserve">7</w:t>
        </w:r>
      </w:hyperlink>
      <w:r>
        <w:t xml:space="preserve">] и [</w:t>
      </w:r>
      <w:hyperlink w:anchor="fig:8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7"/>
    <w:p>
      <w:pPr>
        <w:pStyle w:val="CaptionedFigure"/>
      </w:pPr>
      <w:bookmarkStart w:id="50" w:name="fig:7"/>
      <w:r>
        <w:drawing>
          <wp:inline>
            <wp:extent cx="5334000" cy="5440149"/>
            <wp:effectExtent b="0" l="0" r="0" t="0"/>
            <wp:docPr descr="Figure 7: Изменение длины очереди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длины очереди.</w:t>
      </w:r>
    </w:p>
    <w:bookmarkEnd w:id="0"/>
    <w:bookmarkStart w:id="0" w:name="fig:8"/>
    <w:p>
      <w:pPr>
        <w:pStyle w:val="CaptionedFigure"/>
      </w:pPr>
      <w:bookmarkStart w:id="54" w:name="fig:8"/>
      <w:r>
        <w:drawing>
          <wp:inline>
            <wp:extent cx="5334000" cy="5544206"/>
            <wp:effectExtent b="0" l="0" r="0" t="0"/>
            <wp:docPr descr="Figure 8: Изменение TCP-окна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TCP-окна.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мониторингом очередей, TCP, дисциплиной RED, сравнила различные протоколы.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Екатерина Канева, НФИбд-02-22</dc:creator>
  <dc:language>ru-RU</dc:language>
  <cp:keywords/>
  <dcterms:created xsi:type="dcterms:W3CDTF">2025-02-22T18:36:19Z</dcterms:created>
  <dcterms:modified xsi:type="dcterms:W3CDTF">2025-02-22T18:36:19Z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Имитационное моделирование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