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№5</w:t>
      </w:r>
    </w:p>
    <w:p>
      <w:pPr>
        <w:pStyle w:val="Subtitle"/>
      </w:pPr>
      <w:r>
        <w:t xml:space="preserve">Имитационное моделирование</w:t>
      </w:r>
    </w:p>
    <w:p>
      <w:pPr>
        <w:pStyle w:val="Author"/>
      </w:pPr>
      <w:r>
        <w:t xml:space="preserve">Екатерина Канева, НФИбд-02-22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модель SIR в xcos и OpenModelica.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 SIR в в xcos.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 SIR с помощью блока Modelica в в xcos.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 SIR в OpenModelica.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 SIR с учётом процесса рождения / гибели особей в xcos (в том числе и с использованием блока Modelica), а также в OpenModelica.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графики эпидемического порога при различных значениях параметров модели (в частности изменяя параметр</w:t>
      </w:r>
      <w:r>
        <w:t xml:space="preserve"> </w:t>
      </w:r>
      <m:oMath>
        <m:r>
          <m:t>μ</m:t>
        </m:r>
      </m:oMath>
      <w:r>
        <w:t xml:space="preserve">).</w:t>
      </w:r>
    </w:p>
    <w:p>
      <w:pPr>
        <w:pStyle w:val="Compact"/>
        <w:numPr>
          <w:ilvl w:val="0"/>
          <w:numId w:val="1001"/>
        </w:numPr>
      </w:pPr>
      <w:r>
        <w:t xml:space="preserve">Сделать анализ полученных графиков в зависимости от выбранных значений параметров модели.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Задача о распространении эпидемии описывается системой дифференциальных 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sepChr m:val="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s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s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i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;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i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β</m:t>
                    </m:r>
                    <m:r>
                      <m:t>s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i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ν</m:t>
                    </m:r>
                    <m:r>
                      <m:t>i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;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r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ν</m:t>
                    </m:r>
                    <m:r>
                      <m:t>i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– скорость заражения,</w:t>
      </w:r>
      <w:r>
        <w:t xml:space="preserve"> </w:t>
      </w:r>
      <m:oMath>
        <m:r>
          <m:t>ν</m:t>
        </m:r>
      </m:oMath>
      <w:r>
        <w:t xml:space="preserve"> </w:t>
      </w:r>
      <w:r>
        <w:t xml:space="preserve">– скорость выздоровления.</w:t>
      </w:r>
    </w:p>
    <w:p>
      <w:pPr>
        <w:pStyle w:val="BodyText"/>
      </w:pPr>
      <w:r>
        <w:t xml:space="preserve">Если брать в расчёт демографические процессы (рождение и гибель), то система выглдяит так: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sepChr m:val="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s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s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i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μ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s</m:t>
                        </m:r>
                        <m:d>
                          <m:dPr>
                            <m:begChr m:val="("/>
                            <m:sepChr m:val=""/>
                            <m:endChr m:val=")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</m:e>
                    </m:d>
                    <m:r>
                      <m:rPr>
                        <m:sty m:val="p"/>
                      </m:rPr>
                      <m:t>;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i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β</m:t>
                    </m:r>
                    <m:r>
                      <m:t>s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i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ν</m:t>
                    </m:r>
                    <m:r>
                      <m:t>i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μ</m:t>
                    </m:r>
                    <m:r>
                      <m:t>i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;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r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ν</m:t>
                    </m:r>
                    <m:r>
                      <m:t>i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μ</m:t>
                    </m:r>
                    <m:r>
                      <m:t>r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— константа, которая равна коэффициенту смертности и рождаемости.</w:t>
      </w:r>
    </w:p>
    <w:bookmarkEnd w:id="22"/>
    <w:bookmarkStart w:id="8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я построила модель из блоков в xcos (рис. 1).</w:t>
      </w:r>
    </w:p>
    <w:bookmarkStart w:id="26" w:name="fig:1"/>
    <w:p>
      <w:pPr>
        <w:pStyle w:val="CaptionedFigure"/>
      </w:pPr>
      <w:r>
        <w:drawing>
          <wp:inline>
            <wp:extent cx="3733800" cy="2580714"/>
            <wp:effectExtent b="0" l="0" r="0" t="0"/>
            <wp:docPr descr="Рис. 1: Модель 1 в xcos.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0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Модель 1 в xcos.</w:t>
      </w:r>
    </w:p>
    <w:bookmarkEnd w:id="26"/>
    <w:p>
      <w:pPr>
        <w:pStyle w:val="BodyText"/>
      </w:pPr>
      <w:r>
        <w:t xml:space="preserve">Задала следующие параметры для блоков интегрирования для верхнего рис. 2, для среднего рис. 3:</w:t>
      </w:r>
    </w:p>
    <w:bookmarkStart w:id="30" w:name="fig:2"/>
    <w:p>
      <w:pPr>
        <w:pStyle w:val="CaptionedFigure"/>
      </w:pPr>
      <w:r>
        <w:drawing>
          <wp:inline>
            <wp:extent cx="3733800" cy="2511984"/>
            <wp:effectExtent b="0" l="0" r="0" t="0"/>
            <wp:docPr descr="Рис. 2: Параметры верхнего блока интегрирования.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1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Параметры верхнего блока интегрирования.</w:t>
      </w:r>
    </w:p>
    <w:bookmarkEnd w:id="30"/>
    <w:bookmarkStart w:id="34" w:name="fig:3"/>
    <w:p>
      <w:pPr>
        <w:pStyle w:val="CaptionedFigure"/>
      </w:pPr>
      <w:r>
        <w:drawing>
          <wp:inline>
            <wp:extent cx="3733800" cy="2636131"/>
            <wp:effectExtent b="0" l="0" r="0" t="0"/>
            <wp:docPr descr="Рис. 3: Параметры среднего блока интегрирования.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6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Параметры среднего блока интегрирования.</w:t>
      </w:r>
    </w:p>
    <w:bookmarkEnd w:id="34"/>
    <w:p>
      <w:pPr>
        <w:pStyle w:val="BodyText"/>
      </w:pPr>
      <w:r>
        <w:t xml:space="preserve">Задала длительность моделирования (рис. 4):</w:t>
      </w:r>
    </w:p>
    <w:bookmarkStart w:id="38" w:name="fig:4"/>
    <w:p>
      <w:pPr>
        <w:pStyle w:val="CaptionedFigure"/>
      </w:pPr>
      <w:r>
        <w:drawing>
          <wp:inline>
            <wp:extent cx="3733800" cy="2001683"/>
            <wp:effectExtent b="0" l="0" r="0" t="0"/>
            <wp:docPr descr="Рис. 4: Длительность моделирования.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1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Длительность моделирования.</w:t>
      </w:r>
    </w:p>
    <w:bookmarkEnd w:id="38"/>
    <w:p>
      <w:pPr>
        <w:pStyle w:val="BodyText"/>
      </w:pPr>
      <w:r>
        <w:t xml:space="preserve">Запустила моделирование, получила следующий график (рис. 5):</w:t>
      </w:r>
    </w:p>
    <w:bookmarkStart w:id="42" w:name="fig:5"/>
    <w:p>
      <w:pPr>
        <w:pStyle w:val="CaptionedFigure"/>
      </w:pPr>
      <w:r>
        <w:drawing>
          <wp:inline>
            <wp:extent cx="3733800" cy="2489200"/>
            <wp:effectExtent b="0" l="0" r="0" t="0"/>
            <wp:docPr descr="Рис. 5: График модели 1 в xcos.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График модели 1 в xcos.</w:t>
      </w:r>
    </w:p>
    <w:bookmarkEnd w:id="42"/>
    <w:p>
      <w:pPr>
        <w:pStyle w:val="BodyText"/>
      </w:pPr>
      <w:r>
        <w:t xml:space="preserve">Далее построила то же самое, но с блоком Modelica (рис. 6):</w:t>
      </w:r>
    </w:p>
    <w:bookmarkStart w:id="46" w:name="fig:6"/>
    <w:p>
      <w:pPr>
        <w:pStyle w:val="CaptionedFigure"/>
      </w:pPr>
      <w:r>
        <w:drawing>
          <wp:inline>
            <wp:extent cx="3733800" cy="2073483"/>
            <wp:effectExtent b="0" l="0" r="0" t="0"/>
            <wp:docPr descr="Рис. 6: Модель 1 в xcos (с блоком Modelica).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3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Модель 1 в xcos (с блоком Modelica).</w:t>
      </w:r>
    </w:p>
    <w:bookmarkEnd w:id="46"/>
    <w:p>
      <w:pPr>
        <w:pStyle w:val="BodyText"/>
      </w:pPr>
      <w:r>
        <w:t xml:space="preserve">Задала параметры для блока Modelica (рис. 7) и написала код для этого блока (рис. 8):</w:t>
      </w:r>
    </w:p>
    <w:bookmarkStart w:id="50" w:name="fig:7"/>
    <w:p>
      <w:pPr>
        <w:pStyle w:val="CaptionedFigure"/>
      </w:pPr>
      <w:r>
        <w:drawing>
          <wp:inline>
            <wp:extent cx="3696101" cy="3542096"/>
            <wp:effectExtent b="0" l="0" r="0" t="0"/>
            <wp:docPr descr="Рис. 7: Параметры блока Modelica.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542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Параметры блока Modelica.</w:t>
      </w:r>
    </w:p>
    <w:bookmarkEnd w:id="50"/>
    <w:bookmarkStart w:id="54" w:name="fig:8"/>
    <w:p>
      <w:pPr>
        <w:pStyle w:val="CaptionedFigure"/>
      </w:pPr>
      <w:r>
        <w:drawing>
          <wp:inline>
            <wp:extent cx="3733800" cy="3604089"/>
            <wp:effectExtent b="0" l="0" r="0" t="0"/>
            <wp:docPr descr="Рис. 8: Код для блока Modelica.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04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Код для блока Modelica.</w:t>
      </w:r>
    </w:p>
    <w:bookmarkEnd w:id="54"/>
    <w:p>
      <w:pPr>
        <w:pStyle w:val="BodyText"/>
      </w:pPr>
      <w:r>
        <w:t xml:space="preserve">Получила такой же график, как на рис. 5.</w:t>
      </w:r>
    </w:p>
    <w:p>
      <w:pPr>
        <w:pStyle w:val="BodyText"/>
      </w:pPr>
      <w:r>
        <w:t xml:space="preserve">Далее я выполнила то же самое в OpenModelica в качестве упражнения. Там я ввела следующий код:</w:t>
      </w:r>
    </w:p>
    <w:p>
      <w:pPr>
        <w:pStyle w:val="SourceCode"/>
      </w:pPr>
      <w:r>
        <w:rPr>
          <w:rStyle w:val="VerbatimChar"/>
        </w:rPr>
        <w:t xml:space="preserve">model lab51</w:t>
      </w:r>
      <w:r>
        <w:br/>
      </w:r>
      <w:r>
        <w:rPr>
          <w:rStyle w:val="VerbatimChar"/>
        </w:rPr>
        <w:t xml:space="preserve">  parameter Real I_0 = 0.001;</w:t>
      </w:r>
      <w:r>
        <w:br/>
      </w:r>
      <w:r>
        <w:rPr>
          <w:rStyle w:val="VerbatimChar"/>
        </w:rPr>
        <w:t xml:space="preserve">  parameter Real R_0 = 0;</w:t>
      </w:r>
      <w:r>
        <w:br/>
      </w:r>
      <w:r>
        <w:rPr>
          <w:rStyle w:val="VerbatimChar"/>
        </w:rPr>
        <w:t xml:space="preserve">  parameter Real S_0 = 0.999;</w:t>
      </w:r>
      <w:r>
        <w:br/>
      </w:r>
      <w:r>
        <w:rPr>
          <w:rStyle w:val="VerbatimChar"/>
        </w:rPr>
        <w:t xml:space="preserve">  parameter Real beta = 1;</w:t>
      </w:r>
      <w:r>
        <w:br/>
      </w:r>
      <w:r>
        <w:rPr>
          <w:rStyle w:val="VerbatimChar"/>
        </w:rPr>
        <w:t xml:space="preserve">  parameter Real nu = 0.3;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s(start=S_0);</w:t>
      </w:r>
      <w:r>
        <w:br/>
      </w:r>
      <w:r>
        <w:rPr>
          <w:rStyle w:val="VerbatimChar"/>
        </w:rPr>
        <w:t xml:space="preserve">  Real i(start=I_0);</w:t>
      </w:r>
      <w:r>
        <w:br/>
      </w:r>
      <w:r>
        <w:rPr>
          <w:rStyle w:val="VerbatimChar"/>
        </w:rPr>
        <w:t xml:space="preserve">  Real r(start=R_0);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der(s)=-beta*s*i;</w:t>
      </w:r>
      <w:r>
        <w:br/>
      </w:r>
      <w:r>
        <w:rPr>
          <w:rStyle w:val="VerbatimChar"/>
        </w:rPr>
        <w:t xml:space="preserve">  der(i)=beta*s*i-nu*i;</w:t>
      </w:r>
      <w:r>
        <w:br/>
      </w:r>
      <w:r>
        <w:rPr>
          <w:rStyle w:val="VerbatimChar"/>
        </w:rPr>
        <w:t xml:space="preserve">  der(r)=nu*i;</w:t>
      </w:r>
      <w:r>
        <w:br/>
      </w:r>
      <w:r>
        <w:br/>
      </w:r>
      <w:r>
        <w:rPr>
          <w:rStyle w:val="VerbatimChar"/>
        </w:rPr>
        <w:t xml:space="preserve">end lab51;</w:t>
      </w:r>
    </w:p>
    <w:p>
      <w:pPr>
        <w:pStyle w:val="FirstParagraph"/>
      </w:pPr>
      <w:r>
        <w:t xml:space="preserve">При запуске построился следуюший график (рис. 9):</w:t>
      </w:r>
    </w:p>
    <w:bookmarkStart w:id="58" w:name="fig:9"/>
    <w:p>
      <w:pPr>
        <w:pStyle w:val="CaptionedFigure"/>
      </w:pPr>
      <w:r>
        <w:drawing>
          <wp:inline>
            <wp:extent cx="3733800" cy="1953445"/>
            <wp:effectExtent b="0" l="0" r="0" t="0"/>
            <wp:docPr descr="Рис. 9: Модель 1 в OpenModelica.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3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Модель 1 в OpenModelica.</w:t>
      </w:r>
    </w:p>
    <w:bookmarkEnd w:id="58"/>
    <w:p>
      <w:pPr>
        <w:pStyle w:val="BodyText"/>
      </w:pPr>
      <w:r>
        <w:t xml:space="preserve">График такой же как при построении в xcos.</w:t>
      </w:r>
    </w:p>
    <w:p>
      <w:pPr>
        <w:pStyle w:val="BodyText"/>
      </w:pPr>
      <w:r>
        <w:t xml:space="preserve">Потом я присупила к выполнению части с учётом демографии. Для этого я изменила схему в xcos (10):</w:t>
      </w:r>
    </w:p>
    <w:bookmarkStart w:id="62" w:name="fig:10"/>
    <w:p>
      <w:pPr>
        <w:pStyle w:val="CaptionedFigure"/>
      </w:pPr>
      <w:r>
        <w:drawing>
          <wp:inline>
            <wp:extent cx="3733800" cy="2329850"/>
            <wp:effectExtent b="0" l="0" r="0" t="0"/>
            <wp:docPr descr="Рис. 10: Модель 2 в xcos.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9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Модель 2 в xcos.</w:t>
      </w:r>
    </w:p>
    <w:bookmarkEnd w:id="62"/>
    <w:p>
      <w:pPr>
        <w:pStyle w:val="BodyText"/>
      </w:pPr>
      <w:r>
        <w:t xml:space="preserve">При запуске с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0.1</m:t>
        </m:r>
      </m:oMath>
      <w:r>
        <w:t xml:space="preserve"> </w:t>
      </w:r>
      <w:r>
        <w:t xml:space="preserve">получили график на рис. 11, при запуске с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0.05</m:t>
        </m:r>
      </m:oMath>
      <w:r>
        <w:t xml:space="preserve"> </w:t>
      </w:r>
      <w:r>
        <w:t xml:space="preserve">получили график на рис. 12:</w:t>
      </w:r>
    </w:p>
    <w:bookmarkStart w:id="66" w:name="fig:11"/>
    <w:p>
      <w:pPr>
        <w:pStyle w:val="CaptionedFigure"/>
      </w:pPr>
      <w:r>
        <w:drawing>
          <wp:inline>
            <wp:extent cx="3733800" cy="2509805"/>
            <wp:effectExtent b="0" l="0" r="0" t="0"/>
            <wp:docPr descr="Рис. 11: График модели 2 в xcos с mu = 0.1.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9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График модели 2 в xcos с mu = 0.1.</w:t>
      </w:r>
    </w:p>
    <w:bookmarkEnd w:id="66"/>
    <w:bookmarkStart w:id="70" w:name="fig:12"/>
    <w:p>
      <w:pPr>
        <w:pStyle w:val="CaptionedFigure"/>
      </w:pPr>
      <w:r>
        <w:drawing>
          <wp:inline>
            <wp:extent cx="3733800" cy="2523659"/>
            <wp:effectExtent b="0" l="0" r="0" t="0"/>
            <wp:docPr descr="Рис. 12: График модели 2 в xcos с mu = 0.05.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3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График модели 2 в xcos с mu = 0.05.</w:t>
      </w:r>
    </w:p>
    <w:bookmarkEnd w:id="70"/>
    <w:p>
      <w:pPr>
        <w:pStyle w:val="BodyText"/>
      </w:pPr>
      <w:r>
        <w:t xml:space="preserve">Далее я построила то же самое с блоком Modelica (рис. 8):</w:t>
      </w:r>
    </w:p>
    <w:bookmarkStart w:id="74" w:name="fig:13"/>
    <w:p>
      <w:pPr>
        <w:pStyle w:val="CaptionedFigure"/>
      </w:pPr>
      <w:r>
        <w:drawing>
          <wp:inline>
            <wp:extent cx="3733800" cy="2998167"/>
            <wp:effectExtent b="0" l="0" r="0" t="0"/>
            <wp:docPr descr="Рис. 13: Модель 2 в xcos (с блоком Modelica).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8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Модель 2 в xcos (с блоком Modelica).</w:t>
      </w:r>
    </w:p>
    <w:bookmarkEnd w:id="74"/>
    <w:p>
      <w:pPr>
        <w:pStyle w:val="BodyText"/>
      </w:pPr>
      <w:r>
        <w:t xml:space="preserve">Изменила код и параметры блока, график получился такой же, как и без блока Modelica (рис. 11 и 12).</w:t>
      </w:r>
    </w:p>
    <w:p>
      <w:pPr>
        <w:pStyle w:val="BodyText"/>
      </w:pPr>
      <w:r>
        <w:t xml:space="preserve">Далее я реализовала эту модель в OpenModelica. Для этого я отредактировала предыдущий код и получила это:</w:t>
      </w:r>
    </w:p>
    <w:p>
      <w:pPr>
        <w:pStyle w:val="SourceCode"/>
      </w:pPr>
      <w:r>
        <w:rPr>
          <w:rStyle w:val="VerbatimChar"/>
        </w:rPr>
        <w:t xml:space="preserve">model lab52</w:t>
      </w:r>
      <w:r>
        <w:br/>
      </w:r>
      <w:r>
        <w:rPr>
          <w:rStyle w:val="VerbatimChar"/>
        </w:rPr>
        <w:t xml:space="preserve">  parameter Real I_0 = 0.001;</w:t>
      </w:r>
      <w:r>
        <w:br/>
      </w:r>
      <w:r>
        <w:rPr>
          <w:rStyle w:val="VerbatimChar"/>
        </w:rPr>
        <w:t xml:space="preserve">  parameter Real R_0 = 0;</w:t>
      </w:r>
      <w:r>
        <w:br/>
      </w:r>
      <w:r>
        <w:rPr>
          <w:rStyle w:val="VerbatimChar"/>
        </w:rPr>
        <w:t xml:space="preserve">  parameter Real S_0 = 0.999;</w:t>
      </w:r>
      <w:r>
        <w:br/>
      </w:r>
      <w:r>
        <w:rPr>
          <w:rStyle w:val="VerbatimChar"/>
        </w:rPr>
        <w:t xml:space="preserve">  parameter Real beta = 1;</w:t>
      </w:r>
      <w:r>
        <w:br/>
      </w:r>
      <w:r>
        <w:rPr>
          <w:rStyle w:val="VerbatimChar"/>
        </w:rPr>
        <w:t xml:space="preserve">  parameter Real nu = 0.3;</w:t>
      </w:r>
      <w:r>
        <w:br/>
      </w:r>
      <w:r>
        <w:rPr>
          <w:rStyle w:val="VerbatimChar"/>
        </w:rPr>
        <w:t xml:space="preserve">  parameter Real mu = 0.1;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s(start=S_0);</w:t>
      </w:r>
      <w:r>
        <w:br/>
      </w:r>
      <w:r>
        <w:rPr>
          <w:rStyle w:val="VerbatimChar"/>
        </w:rPr>
        <w:t xml:space="preserve">  Real i(start=I_0);</w:t>
      </w:r>
      <w:r>
        <w:br/>
      </w:r>
      <w:r>
        <w:rPr>
          <w:rStyle w:val="VerbatimChar"/>
        </w:rPr>
        <w:t xml:space="preserve">  Real r(start=R_0);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der(s)=-beta*s*i+mu*i+mu*r;</w:t>
      </w:r>
      <w:r>
        <w:br/>
      </w:r>
      <w:r>
        <w:rPr>
          <w:rStyle w:val="VerbatimChar"/>
        </w:rPr>
        <w:t xml:space="preserve">  der(i)=beta*s*i-nu*i-mu*i;</w:t>
      </w:r>
      <w:r>
        <w:br/>
      </w:r>
      <w:r>
        <w:rPr>
          <w:rStyle w:val="VerbatimChar"/>
        </w:rPr>
        <w:t xml:space="preserve">  der(r)=nu*i-mu*r;</w:t>
      </w:r>
      <w:r>
        <w:br/>
      </w:r>
      <w:r>
        <w:br/>
      </w:r>
      <w:r>
        <w:rPr>
          <w:rStyle w:val="VerbatimChar"/>
        </w:rPr>
        <w:t xml:space="preserve">end lab52;</w:t>
      </w:r>
    </w:p>
    <w:p>
      <w:pPr>
        <w:pStyle w:val="FirstParagraph"/>
      </w:pPr>
      <w:r>
        <w:t xml:space="preserve">При запуске с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0.1</m:t>
        </m:r>
      </m:oMath>
      <w:r>
        <w:t xml:space="preserve"> </w:t>
      </w:r>
      <w:r>
        <w:t xml:space="preserve">получился график на рис. 14, при запуске с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0.05</m:t>
        </m:r>
      </m:oMath>
      <w:r>
        <w:t xml:space="preserve"> </w:t>
      </w:r>
      <w:r>
        <w:t xml:space="preserve">получили график на рис. 15:</w:t>
      </w:r>
    </w:p>
    <w:bookmarkStart w:id="78" w:name="fig:14"/>
    <w:p>
      <w:pPr>
        <w:pStyle w:val="CaptionedFigure"/>
      </w:pPr>
      <w:r>
        <w:drawing>
          <wp:inline>
            <wp:extent cx="3733800" cy="1797755"/>
            <wp:effectExtent b="0" l="0" r="0" t="0"/>
            <wp:docPr descr="Рис. 14: График модели 2 в xcos с mu = 0.1.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7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График модели 2 в xcos с mu = 0.1.</w:t>
      </w:r>
    </w:p>
    <w:bookmarkEnd w:id="78"/>
    <w:bookmarkStart w:id="82" w:name="fig:15"/>
    <w:p>
      <w:pPr>
        <w:pStyle w:val="CaptionedFigure"/>
      </w:pPr>
      <w:r>
        <w:drawing>
          <wp:inline>
            <wp:extent cx="3733800" cy="1799838"/>
            <wp:effectExtent b="0" l="0" r="0" t="0"/>
            <wp:docPr descr="Рис. 15: График модели 2 в xcos с mu = 0.05.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9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График модели 2 в xcos с mu = 0.05.</w:t>
      </w:r>
    </w:p>
    <w:bookmarkEnd w:id="82"/>
    <w:p>
      <w:pPr>
        <w:pStyle w:val="BodyText"/>
      </w:pPr>
      <w:r>
        <w:t xml:space="preserve">Видно, что чем больше коэффициент</w:t>
      </w:r>
      <w:r>
        <w:t xml:space="preserve"> </w:t>
      </w:r>
      <m:oMath>
        <m:r>
          <m:t>μ</m:t>
        </m:r>
      </m:oMath>
      <w:r>
        <w:t xml:space="preserve">, тем сильнее график отличается от начального.</w:t>
      </w:r>
    </w:p>
    <w:bookmarkEnd w:id="83"/>
    <w:bookmarkStart w:id="8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Построили модель SIR в xcos и OpenModelica.</w:t>
      </w:r>
    </w:p>
    <w:bookmarkEnd w:id="8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Екатерина Канева, НФИбд-02-22</dc:creator>
  <dc:language>ru-RU</dc:language>
  <cp:keywords/>
  <dcterms:created xsi:type="dcterms:W3CDTF">2025-03-08T18:24:25Z</dcterms:created>
  <dcterms:modified xsi:type="dcterms:W3CDTF">2025-03-08T18:24:25Z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Имитационное моделирование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